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22"/>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13"/>
            <w:r/>
            <w:bookmarkStart w:id="2" w:name="OLE_LINK3"/>
            <w:r/>
            <w:bookmarkStart w:id="3" w:name="OLE_LINK24"/>
            <w:r/>
            <w:bookmarkStart w:id="4" w:name="OLE_LINK29"/>
            <w:r/>
            <w:bookmarkStart w:id="5" w:name="OLE_LINK1"/>
            <w:r/>
            <w:bookmarkStart w:id="6" w:name="OLE_LINK17"/>
            <w:r/>
            <w:bookmarkStart w:id="7" w:name="OLE_LINK27"/>
            <w:r/>
            <w:bookmarkStart w:id="8" w:name="OLE_LINK14"/>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鸿桥花园安置小区一二期基础设施改造维修项目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5"/>
            <w:r/>
            <w:bookmarkStart w:id="10" w:name="OLE_LINK2"/>
            <w:r/>
            <w:bookmarkStart w:id="11" w:name="OLE_LINK30"/>
            <w:r/>
            <w:bookmarkStart w:id="12" w:name="OLE_LINK5"/>
            <w:r/>
            <w:bookmarkStart w:id="13" w:name="OLE_LINK15"/>
            <w:r/>
            <w:bookmarkStart w:id="14" w:name="OLE_LINK18"/>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b/>
                <w:color w:val="auto"/>
                <w:sz w:val="32"/>
                <w:szCs w:val="32"/>
                <w:highlight w:val="none"/>
                <w:lang w:val="en-US" w:eastAsia="zh-CN"/>
              </w:rPr>
              <w:t xml:space="preserve">JSZC-320703-BYGS-C2026-0011</w:t>
            </w:r>
            <w:r/>
          </w:p>
        </w:tc>
      </w:tr>
    </w:tbl>
    <w:p>
      <w:pPr>
        <w:pStyle w:val="836"/>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6"/>
        <w:rPr>
          <w:rFonts w:ascii="Times New Roman"/>
          <w:b/>
          <w:bCs/>
          <w:color w:val="auto"/>
          <w:sz w:val="32"/>
          <w:highlight w:val="none"/>
        </w:rPr>
      </w:pPr>
      <w:r>
        <w:rPr>
          <w:rFonts w:ascii="Times New Roman"/>
          <w:b/>
          <w:bCs/>
          <w:color w:val="auto"/>
          <w:sz w:val="32"/>
          <w:highlight w:val="none"/>
        </w:rPr>
      </w:r>
      <w:r/>
    </w:p>
    <w:p>
      <w:pPr>
        <w:pStyle w:val="836"/>
        <w:rPr>
          <w:rFonts w:ascii="Times New Roman"/>
          <w:b/>
          <w:bCs/>
          <w:color w:val="auto"/>
          <w:sz w:val="32"/>
          <w:highlight w:val="none"/>
        </w:rPr>
      </w:pPr>
      <w:r>
        <w:rPr>
          <w:rFonts w:ascii="Times New Roman"/>
          <w:b/>
          <w:bCs/>
          <w:color w:val="auto"/>
          <w:sz w:val="32"/>
          <w:highlight w:val="none"/>
        </w:rPr>
      </w:r>
      <w:r/>
    </w:p>
    <w:p>
      <w:pPr>
        <w:pStyle w:val="836"/>
        <w:rPr>
          <w:rFonts w:ascii="Times New Roman"/>
          <w:b/>
          <w:bCs/>
          <w:color w:val="auto"/>
          <w:sz w:val="32"/>
          <w:highlight w:val="none"/>
        </w:rPr>
      </w:pPr>
      <w:r>
        <w:rPr>
          <w:rFonts w:ascii="Times New Roman"/>
          <w:b/>
          <w:bCs/>
          <w:color w:val="auto"/>
          <w:sz w:val="32"/>
          <w:highlight w:val="none"/>
        </w:rPr>
      </w:r>
      <w:r/>
    </w:p>
    <w:p>
      <w:pPr>
        <w:pStyle w:val="836"/>
        <w:rPr>
          <w:rFonts w:ascii="Times New Roman"/>
          <w:b/>
          <w:bCs/>
          <w:color w:val="auto"/>
          <w:sz w:val="32"/>
          <w:highlight w:val="none"/>
        </w:rPr>
      </w:pPr>
      <w:r>
        <w:rPr>
          <w:rFonts w:ascii="Times New Roman"/>
          <w:b/>
          <w:bCs/>
          <w:color w:val="auto"/>
          <w:sz w:val="32"/>
          <w:highlight w:val="none"/>
        </w:rPr>
      </w:r>
      <w:r/>
    </w:p>
    <w:tbl>
      <w:tblPr>
        <w:tblStyle w:val="822"/>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 购  </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连云港市连云区人民政府板桥街道办事处</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代</w:t>
            </w:r>
            <w:r>
              <w:rPr>
                <w:rFonts w:hint="eastAsia" w:ascii="Arial" w:hAnsi="宋体" w:cs="Times New Roman"/>
                <w:b/>
                <w:color w:val="auto"/>
                <w:spacing w:val="0"/>
                <w:sz w:val="32"/>
                <w:szCs w:val="32"/>
                <w:highlight w:val="none"/>
                <w:lang w:val="en-US" w:eastAsia="zh-CN" w:bidi="ar-SA"/>
              </w:rPr>
              <w:t xml:space="preserve"> </w:t>
            </w:r>
            <w:r>
              <w:rPr>
                <w:rFonts w:hint="eastAsia" w:ascii="Arial" w:hAnsi="宋体" w:cs="Times New Roman"/>
                <w:b/>
                <w:color w:val="auto"/>
                <w:spacing w:val="0"/>
                <w:sz w:val="32"/>
                <w:szCs w:val="32"/>
                <w:highlight w:val="none"/>
                <w:lang w:val="zh-CN" w:eastAsia="zh-CN" w:bidi="ar-SA"/>
              </w:rPr>
              <w:t xml:space="preserve">理</w:t>
            </w:r>
            <w:r>
              <w:rPr>
                <w:rFonts w:hint="eastAsia" w:ascii="Arial" w:hAnsi="宋体" w:eastAsia="宋体" w:cs="Times New Roman"/>
                <w:b/>
                <w:color w:val="auto"/>
                <w:spacing w:val="0"/>
                <w:sz w:val="32"/>
                <w:szCs w:val="32"/>
                <w:highlight w:val="none"/>
                <w:lang w:val="zh-CN" w:eastAsia="zh-CN" w:bidi="ar-SA"/>
              </w:rPr>
              <w:t xml:space="preserve">：</w:t>
            </w:r>
            <w:r/>
          </w:p>
        </w:tc>
        <w:tc>
          <w:tcPr>
            <w:tcW w:w="6687" w:type="dxa"/>
            <w:vAlign w:val="center"/>
            <w:textDirection w:val="lrTb"/>
            <w:noWrap w:val="false"/>
          </w:tcPr>
          <w:p>
            <w:pPr>
              <w:pStyle w:val="836"/>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6"/>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22"/>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36"/>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298271315"/>
            <w:r/>
            <w:bookmarkEnd w:id="17"/>
            <w:r/>
            <w:bookmarkStart w:id="18" w:name="_1372492890"/>
            <w:r/>
            <w:bookmarkEnd w:id="18"/>
            <w:r/>
            <w:bookmarkStart w:id="19" w:name="_1435736218"/>
            <w:r/>
            <w:bookmarkEnd w:id="19"/>
            <w:r/>
            <w:bookmarkStart w:id="20" w:name="_1280844196"/>
            <w:r/>
            <w:bookmarkEnd w:id="20"/>
            <w:r/>
            <w:bookmarkStart w:id="21" w:name="_1337000242"/>
            <w:r/>
            <w:bookmarkEnd w:id="21"/>
            <w:r/>
            <w:bookmarkStart w:id="22" w:name="_1291189843"/>
            <w:r/>
            <w:bookmarkEnd w:id="22"/>
            <w:r/>
            <w:bookmarkStart w:id="23" w:name="_1372599658"/>
            <w:r/>
            <w:bookmarkEnd w:id="23"/>
            <w:r/>
            <w:bookmarkStart w:id="24" w:name="_1297774439"/>
            <w:r/>
            <w:bookmarkEnd w:id="24"/>
            <w:r/>
            <w:bookmarkStart w:id="25" w:name="_1297758037"/>
            <w:r/>
            <w:bookmarkEnd w:id="25"/>
            <w:r/>
            <w:bookmarkStart w:id="26" w:name="_1372599208"/>
            <w:r/>
            <w:bookmarkEnd w:id="26"/>
            <w:r/>
            <w:bookmarkStart w:id="27" w:name="_1278423018"/>
            <w:r/>
            <w:bookmarkEnd w:id="27"/>
            <w:r/>
            <w:bookmarkStart w:id="28" w:name="_1407138770"/>
            <w:r/>
            <w:bookmarkEnd w:id="28"/>
            <w:r/>
            <w:bookmarkStart w:id="29" w:name="_1297771658"/>
            <w:r/>
            <w:bookmarkEnd w:id="29"/>
            <w:r/>
            <w:bookmarkStart w:id="30" w:name="_1279442339"/>
            <w:r/>
            <w:bookmarkEnd w:id="30"/>
            <w:r/>
            <w:bookmarkStart w:id="31" w:name="_1291116219"/>
            <w:r/>
            <w:bookmarkEnd w:id="31"/>
            <w:r/>
            <w:bookmarkStart w:id="32" w:name="_1435759884"/>
            <w:r/>
            <w:bookmarkEnd w:id="32"/>
            <w:r/>
            <w:bookmarkStart w:id="33" w:name="_1407649454"/>
            <w:r/>
            <w:bookmarkEnd w:id="33"/>
            <w:r/>
            <w:bookmarkStart w:id="34" w:name="_1336909890"/>
            <w:r/>
            <w:bookmarkEnd w:id="34"/>
            <w:r/>
            <w:bookmarkStart w:id="35" w:name="_1471955348"/>
            <w:r/>
            <w:bookmarkEnd w:id="35"/>
            <w:r/>
            <w:bookmarkStart w:id="36" w:name="_1468217283"/>
            <w:r/>
            <w:bookmarkEnd w:id="36"/>
            <w:r/>
            <w:bookmarkStart w:id="37" w:name="_1467808401"/>
            <w:r/>
            <w:bookmarkEnd w:id="37"/>
            <w:r/>
            <w:bookmarkStart w:id="38" w:name="_1407154196"/>
            <w:r/>
            <w:bookmarkEnd w:id="38"/>
            <w:r/>
            <w:bookmarkStart w:id="39" w:name="_1298270684"/>
            <w:r/>
            <w:bookmarkEnd w:id="39"/>
            <w:r/>
            <w:bookmarkStart w:id="40" w:name="_1297752558"/>
            <w:r/>
            <w:bookmarkEnd w:id="40"/>
            <w:r/>
            <w:bookmarkStart w:id="41" w:name="_1447850345"/>
            <w:r/>
            <w:bookmarkEnd w:id="41"/>
            <w:r/>
            <w:bookmarkStart w:id="42" w:name="_1278423854"/>
            <w:r/>
            <w:bookmarkEnd w:id="42"/>
            <w:r/>
            <w:bookmarkStart w:id="43" w:name="_1336475279"/>
            <w:r/>
            <w:bookmarkEnd w:id="43"/>
            <w:r/>
            <w:bookmarkStart w:id="44" w:name="_1291464772"/>
            <w:r/>
            <w:bookmarkEnd w:id="44"/>
            <w:r/>
            <w:bookmarkStart w:id="45" w:name="_1479037598"/>
            <w:r/>
            <w:bookmarkEnd w:id="45"/>
            <w:r/>
            <w:bookmarkStart w:id="46" w:name="_1372492601"/>
            <w:r/>
            <w:bookmarkEnd w:id="46"/>
            <w:r/>
            <w:bookmarkStart w:id="47" w:name="_1407132958"/>
            <w:r/>
            <w:bookmarkEnd w:id="47"/>
            <w:r/>
            <w:bookmarkStart w:id="48" w:name="_1407138454"/>
            <w:r/>
            <w:bookmarkEnd w:id="48"/>
            <w:r/>
            <w:bookmarkStart w:id="49" w:name="_1407131738"/>
            <w:r/>
            <w:bookmarkEnd w:id="49"/>
            <w:r/>
            <w:bookmarkStart w:id="50" w:name="_1407051528"/>
            <w:r/>
            <w:bookmarkEnd w:id="50"/>
            <w:r/>
            <w:bookmarkStart w:id="51" w:name="_1486967582"/>
            <w:r/>
            <w:bookmarkEnd w:id="51"/>
            <w:r/>
            <w:bookmarkStart w:id="52" w:name="_1297771980"/>
            <w:r/>
            <w:bookmarkEnd w:id="52"/>
            <w:r/>
            <w:bookmarkStart w:id="53" w:name="_1407131003"/>
            <w:r/>
            <w:bookmarkEnd w:id="53"/>
            <w:r/>
            <w:bookmarkStart w:id="54" w:name="_1407133253"/>
            <w:r/>
            <w:bookmarkEnd w:id="54"/>
            <w:r/>
            <w:bookmarkStart w:id="55" w:name="_1448089845"/>
            <w:r/>
            <w:bookmarkEnd w:id="55"/>
            <w:r/>
            <w:bookmarkStart w:id="56" w:name="_1486968668"/>
            <w:r/>
            <w:bookmarkEnd w:id="56"/>
            <w:r/>
            <w:bookmarkStart w:id="57" w:name="_1468245416"/>
            <w:r/>
            <w:bookmarkEnd w:id="57"/>
            <w:r/>
            <w:bookmarkStart w:id="58" w:name="_1468218264"/>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07</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6"/>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49762231"/>
      <w:r/>
      <w:bookmarkStart w:id="60" w:name="_Toc5244"/>
      <w:r/>
      <w:bookmarkStart w:id="61" w:name="_Toc523502640"/>
      <w:r/>
      <w:bookmarkStart w:id="62" w:name="_Toc5997"/>
      <w:r/>
      <w:bookmarkStart w:id="63" w:name="_Toc99113318"/>
      <w:r/>
      <w:bookmarkStart w:id="64" w:name="_Toc5037035"/>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4"/>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黑体" w:hAnsi="黑体" w:eastAsia="黑体" w:cs="黑体"/>
          <w:color w:val="auto"/>
          <w:szCs w:val="28"/>
          <w:highlight w:val="none"/>
        </w:rPr>
        <w:fldChar w:fldCharType="end"/>
      </w:r>
      <w:r/>
    </w:p>
    <w:p>
      <w:pPr>
        <w:pStyle w:val="84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黑体" w:hAnsi="黑体" w:eastAsia="黑体" w:cs="黑体"/>
          <w:color w:val="auto"/>
          <w:szCs w:val="28"/>
          <w:highlight w:val="none"/>
        </w:rPr>
        <w:fldChar w:fldCharType="end"/>
      </w:r>
      <w:r/>
    </w:p>
    <w:p>
      <w:pPr>
        <w:pStyle w:val="844"/>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黑体" w:hAnsi="黑体" w:eastAsia="黑体" w:cs="黑体"/>
          <w:color w:val="auto"/>
          <w:szCs w:val="28"/>
          <w:highlight w:val="none"/>
        </w:rPr>
        <w:fldChar w:fldCharType="end"/>
      </w:r>
      <w:r/>
    </w:p>
    <w:p>
      <w:pPr>
        <w:pStyle w:val="851"/>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12"/>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12"/>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9"/>
      <w:r/>
      <w:bookmarkStart w:id="68" w:name="OLE_LINK8"/>
      <w:r/>
      <w:bookmarkStart w:id="69" w:name="OLE_LINK28"/>
      <w:r/>
      <w:bookmarkStart w:id="70" w:name="OLE_LINK19"/>
      <w:r/>
      <w:bookmarkStart w:id="71" w:name="OLE_LINK26"/>
      <w:r/>
      <w:bookmarkStart w:id="72" w:name="OLE_LINK10"/>
      <w:r/>
      <w:bookmarkStart w:id="73" w:name="OLE_LINK32"/>
      <w:r/>
      <w:bookmarkStart w:id="74" w:name="OLE_LINK7"/>
      <w:r/>
      <w:bookmarkStart w:id="75" w:name="OLE_LINK36"/>
      <w:r/>
      <w:bookmarkStart w:id="76" w:name="OLE_LINK33"/>
      <w:r/>
      <w:bookmarkStart w:id="77" w:name="OLE_LINK11"/>
      <w:r/>
      <w:bookmarkStart w:id="78" w:name="OLE_LINK12"/>
      <w:r/>
      <w:bookmarkStart w:id="79" w:name="OLE_LINK20"/>
      <w:r/>
      <w:bookmarkStart w:id="80" w:name="OLE_LINK34"/>
      <w:r/>
      <w:bookmarkStart w:id="81" w:name="OLE_LINK23"/>
      <w:r/>
      <w:bookmarkStart w:id="82" w:name="OLE_LINK21"/>
      <w:r/>
      <w:bookmarkStart w:id="83" w:name="OLE_LINK22"/>
      <w:r/>
      <w:bookmarkStart w:id="84" w:name="OLE_LINK16"/>
      <w:r/>
      <w:bookmarkStart w:id="85" w:name="OLE_LINK35"/>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鸿桥花园安置小区一二期基础设施改造维修项目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w:t>
      </w:r>
      <w:r>
        <w:rPr>
          <w:rFonts w:hAnsi="宋体"/>
          <w:color w:val="auto"/>
          <w:szCs w:val="21"/>
          <w:highlight w:val="white"/>
        </w:rPr>
        <w:t xml:space="preserve">于</w:t>
      </w:r>
      <w:r>
        <w:rPr>
          <w:rFonts w:ascii="Times New Roman" w:hAnsi="Times New Roman" w:eastAsia="Times New Roman" w:cs="Times New Roman"/>
          <w:b/>
          <w:color w:val="000000"/>
          <w:sz w:val="21"/>
          <w:highlight w:val="white"/>
          <w:u w:val="single"/>
        </w:rPr>
        <w:t xml:space="preserve">2026</w:t>
      </w:r>
      <w:r>
        <w:rPr>
          <w:rFonts w:hAnsi="宋体"/>
          <w:b/>
          <w:bCs/>
          <w:color w:val="auto"/>
          <w:szCs w:val="21"/>
          <w:highlight w:val="white"/>
          <w:u w:val="single"/>
        </w:rPr>
        <w:t xml:space="preserve">年08</w:t>
      </w:r>
      <w:r>
        <w:rPr>
          <w:rFonts w:hint="eastAsia" w:hAnsi="宋体"/>
          <w:b/>
          <w:bCs/>
          <w:color w:val="auto"/>
          <w:szCs w:val="21"/>
          <w:highlight w:val="white"/>
          <w:u w:val="single"/>
          <w:lang w:val="en-US" w:eastAsia="zh-CN"/>
        </w:rPr>
        <w:t xml:space="preserve">月12</w:t>
      </w:r>
      <w:r>
        <w:rPr>
          <w:rFonts w:hAnsi="宋体"/>
          <w:b/>
          <w:bCs/>
          <w:color w:val="auto"/>
          <w:szCs w:val="21"/>
          <w:highlight w:val="white"/>
          <w:u w:val="single"/>
        </w:rPr>
        <w:t xml:space="preserve">日14</w:t>
      </w:r>
      <w:r>
        <w:rPr>
          <w:rFonts w:hAnsi="宋体"/>
          <w:b/>
          <w:bCs/>
          <w:color w:val="auto"/>
          <w:szCs w:val="21"/>
          <w:highlight w:val="white"/>
          <w:u w:val="single"/>
        </w:rPr>
        <w:t xml:space="preserve">点</w:t>
      </w:r>
      <w:r>
        <w:rPr>
          <w:rFonts w:hint="eastAsia" w:cs="Times New Roman"/>
          <w:b/>
          <w:color w:val="000000"/>
          <w:sz w:val="21"/>
          <w:highlight w:val="white"/>
          <w:u w:val="single"/>
          <w:lang w:val="en-US" w:eastAsia="zh-CN"/>
        </w:rPr>
        <w:t xml:space="preserve">30</w:t>
      </w:r>
      <w:r>
        <w:rPr>
          <w:rFonts w:hAnsi="宋体"/>
          <w:b/>
          <w:bCs/>
          <w:color w:val="auto"/>
          <w:szCs w:val="21"/>
          <w:highlight w:val="white"/>
          <w:u w:val="single"/>
        </w:rPr>
        <w:t xml:space="preserve">分</w:t>
      </w:r>
      <w:r>
        <w:rPr>
          <w:rFonts w:hAnsi="宋体"/>
          <w:bCs/>
          <w:color w:val="auto"/>
          <w:szCs w:val="21"/>
          <w:highlight w:val="white"/>
        </w:rPr>
        <w:t xml:space="preserve">（北</w:t>
      </w:r>
      <w:r>
        <w:rPr>
          <w:rFonts w:hAnsi="宋体"/>
          <w:bCs/>
          <w:color w:val="auto"/>
          <w:szCs w:val="21"/>
          <w:highlight w:val="none"/>
        </w:rPr>
        <w:t xml:space="preserve">京时间）</w:t>
      </w:r>
      <w:r>
        <w:rPr>
          <w:rFonts w:hAnsi="宋体"/>
          <w:b/>
          <w:color w:val="auto"/>
          <w:szCs w:val="21"/>
          <w:highlight w:val="none"/>
        </w:rPr>
        <w:t xml:space="preserve">前提交响应文件。</w:t>
      </w:r>
      <w:r/>
    </w:p>
    <w:p>
      <w:pPr>
        <w:pStyle w:val="85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5"/>
        <w:contextualSpacing/>
        <w:ind w:firstLine="420"/>
        <w:keepLines w:val="0"/>
        <w:keepNext w:val="0"/>
        <w:pageBreakBefore w:val="0"/>
        <w:spacing w:before="0" w:beforeAutospacing="0" w:after="0" w:afterAutospacing="0" w:line="480" w:lineRule="exact"/>
        <w:rPr>
          <w:rFonts w:hint="default" w:ascii="Times New Roman" w:cs="Times New Roman"/>
          <w:color w:val="auto"/>
          <w:sz w:val="21"/>
          <w:szCs w:val="21"/>
          <w:highlight w:val="none"/>
          <w:lang w:val="en-US" w:eastAsia="zh-CN"/>
        </w:rPr>
      </w:pPr>
      <w:r>
        <w:rPr>
          <w:rFonts w:hint="eastAsia" w:ascii="Times New Roman" w:cs="Times New Roman"/>
          <w:color w:val="auto"/>
          <w:sz w:val="21"/>
          <w:szCs w:val="21"/>
          <w:highlight w:val="none"/>
          <w:lang w:eastAsia="zh-CN"/>
        </w:rPr>
        <w:t xml:space="preserve">项目编号：</w:t>
      </w:r>
      <w:r>
        <w:rPr>
          <w:rFonts w:hint="eastAsia" w:ascii="Times New Roman" w:cs="Times New Roman"/>
          <w:color w:val="auto"/>
          <w:sz w:val="21"/>
          <w:szCs w:val="21"/>
          <w:highlight w:val="none"/>
          <w:lang w:val="en-US" w:eastAsia="zh-CN"/>
        </w:rPr>
        <w:t xml:space="preserve">JSZC-320703-BYGS-C2026-0011</w:t>
      </w:r>
      <w:r/>
    </w:p>
    <w:p>
      <w:pPr>
        <w:pStyle w:val="85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项目名称：鸿桥花园安置小区一二期基础设施改造维修项目</w:t>
      </w:r>
      <w:r/>
    </w:p>
    <w:p>
      <w:pPr>
        <w:pStyle w:val="85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w:t>
      </w:r>
      <w:r>
        <w:rPr>
          <w:rFonts w:hint="eastAsia" w:ascii="Times New Roman" w:cs="Times New Roman"/>
          <w:color w:val="auto"/>
          <w:sz w:val="21"/>
          <w:szCs w:val="21"/>
          <w:highlight w:val="none"/>
        </w:rPr>
        <w:t xml:space="preserve">民</w:t>
      </w:r>
      <w:r>
        <w:rPr>
          <w:rFonts w:hint="eastAsia" w:ascii="Times New Roman" w:cs="Times New Roman"/>
          <w:b/>
          <w:bCs/>
          <w:color w:val="auto"/>
          <w:sz w:val="21"/>
          <w:szCs w:val="21"/>
          <w:highlight w:val="none"/>
        </w:rPr>
        <w:t xml:space="preserve">币210.6475 万</w:t>
      </w:r>
      <w:r>
        <w:rPr>
          <w:rFonts w:hint="eastAsia" w:ascii="Times New Roman" w:cs="Times New Roman"/>
          <w:color w:val="auto"/>
          <w:sz w:val="21"/>
          <w:szCs w:val="21"/>
          <w:highlight w:val="none"/>
        </w:rPr>
        <w:t xml:space="preserve">元。</w:t>
      </w:r>
      <w:r/>
    </w:p>
    <w:p>
      <w:pPr>
        <w:pStyle w:val="855"/>
        <w:contextualSpacing/>
        <w:ind w:firstLine="420"/>
        <w:keepLines w:val="0"/>
        <w:keepNext w:val="0"/>
        <w:pageBreakBefore w:val="0"/>
        <w:spacing w:before="0" w:beforeAutospacing="0" w:after="0" w:afterAutospacing="0" w:line="480" w:lineRule="exact"/>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人民币210.6475 </w:t>
      </w:r>
      <w:r>
        <w:rPr>
          <w:rFonts w:hint="eastAsia" w:ascii="Times New Roman" w:cs="Times New Roman"/>
          <w:b/>
          <w:bCs/>
          <w:color w:val="auto"/>
          <w:sz w:val="21"/>
          <w:szCs w:val="21"/>
          <w:highlight w:val="none"/>
          <w:lang w:val="en-US" w:eastAsia="zh-CN"/>
        </w:rPr>
        <w:t xml:space="preserve">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采购需求：鸿桥花园安置小区一二期基础设施改造维修项目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color w:val="auto"/>
          <w:sz w:val="21"/>
          <w:szCs w:val="21"/>
          <w:highlight w:val="none"/>
          <w:lang w:val="en-US" w:eastAsia="zh-CN"/>
        </w:rPr>
        <w:t xml:space="preserve">120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val="en-US" w:eastAsia="zh-CN"/>
        </w:rPr>
        <w:t xml:space="preserve">鸿桥花园安置小区</w:t>
      </w:r>
      <w:r>
        <w:rPr>
          <w:rFonts w:hint="eastAsia" w:ascii="Times New Roman" w:cs="Times New Roman"/>
          <w:color w:val="auto"/>
          <w:sz w:val="21"/>
          <w:szCs w:val="21"/>
          <w:highlight w:val="none"/>
          <w:lang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5"/>
        <w:contextualSpacing/>
        <w:ind w:firstLine="420"/>
        <w:keepLines w:val="0"/>
        <w:keepNext w:val="0"/>
        <w:pageBreakBefore w:val="0"/>
        <w:spacing w:before="0" w:beforeAutospacing="0" w:after="0" w:afterAutospacing="0" w:line="480" w:lineRule="exact"/>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5"/>
        <w:numPr>
          <w:ilvl w:val="0"/>
          <w:numId w:val="1"/>
        </w:numPr>
        <w:contextualSpacing/>
        <w:ind w:firstLine="422"/>
        <w:keepLines w:val="0"/>
        <w:keepNext w:val="0"/>
        <w:pageBreakBefore w:val="0"/>
        <w:spacing w:before="0" w:beforeAutospacing="0" w:after="0" w:afterAutospacing="0" w:line="480" w:lineRule="exact"/>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5"/>
        <w:contextualSpacing/>
        <w:ind w:firstLine="42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rPr>
          <w:rFonts w:hint="eastAsia" w:ascii="Times New Roman" w:cs="Times New Roman"/>
          <w:color w:val="auto"/>
          <w:sz w:val="21"/>
          <w:szCs w:val="21"/>
          <w:highlight w:val="none"/>
          <w:lang w:val="en-US" w:eastAsia="zh-CN"/>
        </w:rPr>
        <w:t xml:space="preserve">）；</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5"/>
        <w:contextualSpacing/>
        <w:ind w:firstLine="632"/>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5"/>
        <w:contextualSpacing/>
        <w:ind w:firstLine="420"/>
        <w:keepLines w:val="0"/>
        <w:keepNext w:val="0"/>
        <w:pageBreakBefore w:val="0"/>
        <w:spacing w:before="0" w:beforeAutospacing="0" w:after="0" w:afterAutospacing="0" w:line="480" w:lineRule="exact"/>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5"/>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5"/>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5"/>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cs="Times New Roman"/>
          <w:b/>
          <w:bCs/>
          <w:color w:val="auto"/>
          <w:sz w:val="21"/>
          <w:szCs w:val="21"/>
          <w:highlight w:val="none"/>
        </w:rPr>
        <w:t xml:space="preserve">有</w:t>
      </w:r>
      <w:r>
        <w:rPr>
          <w:rFonts w:hint="eastAsia" w:ascii="Times New Roman" w:hAnsi="Times New Roman" w:eastAsia="宋体" w:cs="Times New Roman"/>
          <w:b/>
          <w:bCs/>
          <w:color w:val="auto"/>
          <w:sz w:val="21"/>
          <w:szCs w:val="21"/>
          <w:highlight w:val="none"/>
          <w:lang w:eastAsia="zh-CN"/>
        </w:rPr>
        <w:t xml:space="preserve">效的</w:t>
      </w:r>
      <w:r>
        <w:rPr>
          <w:rFonts w:hint="eastAsia" w:ascii="Times New Roman" w:cs="Times New Roman"/>
          <w:b/>
          <w:bCs/>
          <w:color w:val="auto"/>
          <w:sz w:val="21"/>
          <w:szCs w:val="21"/>
          <w:highlight w:val="none"/>
          <w:lang w:eastAsia="zh-CN"/>
        </w:rPr>
        <w:t xml:space="preserve">建筑工程施工总承包</w:t>
      </w:r>
      <w:r>
        <w:rPr>
          <w:rFonts w:hint="eastAsia" w:ascii="Times New Roman" w:cs="Times New Roman"/>
          <w:b/>
          <w:bCs/>
          <w:color w:val="auto"/>
          <w:sz w:val="21"/>
          <w:szCs w:val="21"/>
          <w:highlight w:val="none"/>
          <w:lang w:val="en-US" w:eastAsia="zh-CN"/>
        </w:rPr>
        <w:t xml:space="preserve">三级</w:t>
      </w:r>
      <w:r>
        <w:rPr>
          <w:rFonts w:hint="eastAsia" w:ascii="Times New Roman" w:hAnsi="Times New Roman" w:eastAsia="宋体" w:cs="Times New Roman"/>
          <w:b/>
          <w:bCs/>
          <w:color w:val="auto"/>
          <w:sz w:val="21"/>
          <w:szCs w:val="21"/>
          <w:highlight w:val="none"/>
          <w:lang w:val="en-US" w:eastAsia="zh-CN"/>
        </w:rPr>
        <w:t xml:space="preserve">及以</w:t>
      </w:r>
      <w:r>
        <w:rPr>
          <w:rFonts w:hint="eastAsia" w:ascii="宋体" w:hAnsi="宋体" w:eastAsia="宋体" w:cs="宋体"/>
          <w:b/>
          <w:bCs/>
          <w:color w:val="333333"/>
          <w:sz w:val="21"/>
          <w:szCs w:val="21"/>
          <w:highlight w:val="none"/>
          <w:lang w:val="en-US" w:eastAsia="zh-CN"/>
        </w:rPr>
        <w:t xml:space="preserve">上资质，</w:t>
      </w:r>
      <w:r>
        <w:rPr>
          <w:rFonts w:hint="eastAsia" w:ascii="Times New Roman" w:cs="Times New Roman"/>
          <w:b/>
          <w:bCs/>
          <w:color w:val="auto"/>
          <w:sz w:val="21"/>
          <w:szCs w:val="21"/>
          <w:highlight w:val="none"/>
        </w:rPr>
        <w:t xml:space="preserve">且具有有效的安全生产许可证</w:t>
      </w:r>
      <w:r>
        <w:rPr>
          <w:rFonts w:hint="eastAsia" w:ascii="Times New Roman" w:cs="Times New Roman"/>
          <w:b/>
          <w:bCs/>
          <w:color w:val="auto"/>
          <w:sz w:val="21"/>
          <w:szCs w:val="21"/>
          <w:highlight w:val="none"/>
          <w:lang w:eastAsia="zh-CN"/>
        </w:rPr>
        <w:t xml:space="preserve">；</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ind w:firstLine="420"/>
        <w:pageBreakBefore w:val="0"/>
        <w:spacing w:line="360" w:lineRule="auto"/>
        <w:widowControl w:val="off"/>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w:t>
      </w:r>
      <w:r>
        <w:rPr>
          <w:rFonts w:hint="eastAsia" w:ascii="宋体" w:hAnsi="宋体" w:eastAsia="宋体" w:cs="宋体"/>
          <w:sz w:val="21"/>
          <w:szCs w:val="21"/>
          <w:highlight w:val="none"/>
        </w:rPr>
        <w:t xml:space="preserve">（高等院校、科研机构、军事管理等部门从事工程设计、施工的技术人员不能提供社会保险缴纳证明的，由所在单位上级人事主管部门提供相应的证明材料）</w:t>
      </w:r>
      <w:r>
        <w:rPr>
          <w:rFonts w:hint="eastAsia" w:ascii="宋体" w:hAnsi="宋体" w:eastAsia="宋体" w:cs="宋体"/>
          <w:sz w:val="21"/>
          <w:szCs w:val="21"/>
          <w:highlight w:val="none"/>
          <w:lang w:eastAsia="zh-CN"/>
        </w:rPr>
        <w:t xml:space="preserve">；</w:t>
      </w:r>
      <w:r>
        <w:rPr>
          <w:rFonts w:hint="eastAsia" w:ascii="宋体" w:hAnsi="宋体" w:eastAsia="宋体" w:cs="宋体"/>
          <w:b/>
          <w:sz w:val="21"/>
          <w:szCs w:val="21"/>
          <w:lang w:val="en-GB"/>
        </w:rPr>
        <w:t xml:space="preserve">（如是退休人员仍在执业有效期内的，应提供相关退休证明及</w:t>
      </w:r>
      <w:r>
        <w:rPr>
          <w:rFonts w:hint="eastAsia" w:ascii="宋体" w:hAnsi="宋体" w:eastAsia="宋体" w:cs="宋体"/>
          <w:b/>
          <w:sz w:val="21"/>
          <w:szCs w:val="21"/>
          <w:lang w:val="en-GB" w:eastAsia="zh-CN"/>
        </w:rPr>
        <w:t xml:space="preserve">有效的返聘</w:t>
      </w:r>
      <w:r>
        <w:rPr>
          <w:rFonts w:hint="eastAsia" w:ascii="宋体" w:hAnsi="宋体" w:eastAsia="宋体" w:cs="宋体"/>
          <w:b/>
          <w:sz w:val="21"/>
          <w:szCs w:val="21"/>
          <w:lang w:val="en-GB"/>
        </w:rPr>
        <w:t xml:space="preserve">合同）。</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55"/>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pStyle w:val="855"/>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480" w:lineRule="exact"/>
        <w:widowControl/>
        <w:rPr>
          <w:b/>
          <w:color w:val="auto"/>
          <w:szCs w:val="21"/>
          <w:highlight w:val="none"/>
        </w:rPr>
      </w:pPr>
      <w:r>
        <w:rPr>
          <w:rFonts w:hint="eastAsia"/>
          <w:b/>
          <w:color w:val="auto"/>
          <w:szCs w:val="21"/>
          <w:highlight w:val="none"/>
        </w:rPr>
        <w:t xml:space="preserve">三、磋商文件的获取</w:t>
      </w:r>
      <w:r/>
    </w:p>
    <w:p>
      <w:pPr>
        <w:pStyle w:val="85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5"/>
        <w:contextualSpacing/>
        <w:ind w:firstLine="422"/>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5"/>
        <w:contextualSpacing/>
        <w:ind w:firstLine="1054"/>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5"/>
        <w:contextualSpacing/>
        <w:ind w:firstLine="840"/>
        <w:keepLines w:val="0"/>
        <w:keepNext w:val="0"/>
        <w:pageBreakBefore w:val="0"/>
        <w:spacing w:before="0" w:beforeAutospacing="0" w:after="0" w:afterAutospacing="0" w:line="480" w:lineRule="exact"/>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5"/>
        <w:contextualSpacing/>
        <w:ind w:firstLine="840"/>
        <w:keepLines w:val="0"/>
        <w:keepNext w:val="0"/>
        <w:pageBreakBefore w:val="0"/>
        <w:spacing w:before="0" w:beforeAutospacing="0" w:after="0" w:afterAutospacing="0" w:line="480" w:lineRule="exact"/>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4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480" w:lineRule="exact"/>
        <w:widowControl/>
        <w:rPr>
          <w:rFonts w:ascii="宋体" w:hAnsi="宋体" w:cs="宋体"/>
          <w:b/>
          <w:color w:val="auto"/>
          <w:szCs w:val="21"/>
          <w:highlight w:val="white"/>
        </w:rPr>
      </w:pPr>
      <w:r>
        <w:rPr>
          <w:rFonts w:hint="eastAsia" w:ascii="宋体" w:hAnsi="宋体" w:cs="宋体"/>
          <w:b/>
          <w:color w:val="auto"/>
          <w:szCs w:val="21"/>
          <w:highlight w:val="white"/>
        </w:rPr>
        <w:t xml:space="preserve">时间</w:t>
      </w:r>
      <w:r>
        <w:rPr>
          <w:rFonts w:hint="eastAsia" w:ascii="宋体" w:hAnsi="宋体" w:cs="宋体"/>
          <w:b/>
          <w:color w:val="auto"/>
          <w:szCs w:val="21"/>
          <w:highlight w:val="white"/>
        </w:rPr>
        <w:t xml:space="preserve">：</w:t>
      </w:r>
      <w:r>
        <w:rPr>
          <w:rFonts w:ascii="Times New Roman" w:hAnsi="Times New Roman" w:eastAsia="Times New Roman" w:cs="Times New Roman"/>
          <w:b/>
          <w:color w:val="000000"/>
          <w:sz w:val="21"/>
          <w:highlight w:val="white"/>
          <w:u w:val="none"/>
        </w:rPr>
        <w:t xml:space="preserve">2026</w:t>
      </w:r>
      <w:r>
        <w:rPr>
          <w:rFonts w:hAnsi="宋体"/>
          <w:b/>
          <w:bCs/>
          <w:color w:val="auto"/>
          <w:szCs w:val="21"/>
          <w:highlight w:val="white"/>
          <w:u w:val="none"/>
        </w:rPr>
        <w:t xml:space="preserve">年08</w:t>
      </w:r>
      <w:r>
        <w:rPr>
          <w:rFonts w:hint="eastAsia" w:hAnsi="宋体"/>
          <w:b/>
          <w:bCs/>
          <w:color w:val="auto"/>
          <w:szCs w:val="21"/>
          <w:highlight w:val="white"/>
          <w:u w:val="none"/>
          <w:lang w:val="en-US" w:eastAsia="zh-CN"/>
        </w:rPr>
        <w:t xml:space="preserve">月12</w:t>
      </w:r>
      <w:r>
        <w:rPr>
          <w:rFonts w:hAnsi="宋体"/>
          <w:b/>
          <w:bCs/>
          <w:color w:val="auto"/>
          <w:szCs w:val="21"/>
          <w:highlight w:val="white"/>
          <w:u w:val="none"/>
        </w:rPr>
        <w:t xml:space="preserve">日14</w:t>
      </w:r>
      <w:r>
        <w:rPr>
          <w:rFonts w:hAnsi="宋体"/>
          <w:b/>
          <w:bCs/>
          <w:color w:val="auto"/>
          <w:szCs w:val="21"/>
          <w:highlight w:val="white"/>
          <w:u w:val="none"/>
        </w:rPr>
        <w:t xml:space="preserve">点30</w:t>
      </w:r>
      <w:r>
        <w:rPr>
          <w:rFonts w:hAnsi="宋体"/>
          <w:b/>
          <w:bCs/>
          <w:color w:val="auto"/>
          <w:szCs w:val="21"/>
          <w:highlight w:val="white"/>
          <w:u w:val="none"/>
        </w:rPr>
        <w:t xml:space="preserve">分</w:t>
      </w:r>
      <w:r>
        <w:rPr>
          <w:rFonts w:hint="eastAsia" w:ascii="宋体" w:hAnsi="宋体" w:cs="宋体"/>
          <w:b/>
          <w:color w:val="auto"/>
          <w:szCs w:val="21"/>
          <w:highlight w:val="white"/>
        </w:rPr>
        <w:t xml:space="preserve">（北京时间）</w:t>
      </w:r>
      <w:r>
        <w:rPr>
          <w:highlight w:val="white"/>
        </w:rPr>
      </w:r>
    </w:p>
    <w:p>
      <w:pPr>
        <w:contextualSpacing/>
        <w:ind w:firstLine="527"/>
        <w:jc w:val="left"/>
        <w:keepLines w:val="0"/>
        <w:keepNext w:val="0"/>
        <w:pageBreakBefore w:val="0"/>
        <w:spacing w:line="480" w:lineRule="exact"/>
        <w:widowControl/>
        <w:rPr>
          <w:rFonts w:ascii="宋体" w:hAnsi="宋体" w:cs="宋体"/>
          <w:b/>
          <w:color w:val="auto"/>
          <w:szCs w:val="21"/>
          <w:highlight w:val="white"/>
        </w:rPr>
      </w:pPr>
      <w:r>
        <w:rPr>
          <w:rFonts w:hint="eastAsia" w:ascii="宋体" w:hAnsi="宋体" w:cs="宋体"/>
          <w:b/>
          <w:color w:val="auto"/>
          <w:szCs w:val="21"/>
          <w:highlight w:val="white"/>
        </w:rPr>
        <w:t xml:space="preserve">地址：</w:t>
      </w:r>
      <w:r>
        <w:rPr>
          <w:rFonts w:hint="eastAsia" w:ascii="宋体" w:hAnsi="宋体" w:cs="宋体"/>
          <w:b/>
          <w:color w:val="auto"/>
          <w:szCs w:val="21"/>
          <w:highlight w:val="white"/>
          <w:lang w:eastAsia="zh-CN"/>
        </w:rPr>
        <w:t xml:space="preserve">江苏省政府采购管理交易系统(苏采云)</w:t>
      </w:r>
      <w:r>
        <w:rPr>
          <w:rFonts w:hint="eastAsia" w:ascii="宋体" w:hAnsi="宋体" w:cs="宋体"/>
          <w:b/>
          <w:color w:val="auto"/>
          <w:szCs w:val="21"/>
          <w:highlight w:val="white"/>
        </w:rPr>
        <w:t xml:space="preserve">网上开标大厅。</w:t>
      </w:r>
      <w:r>
        <w:rPr>
          <w:highlight w:val="white"/>
        </w:rPr>
      </w:r>
    </w:p>
    <w:p>
      <w:pPr>
        <w:contextualSpacing/>
        <w:ind w:firstLine="525"/>
        <w:jc w:val="left"/>
        <w:keepLines w:val="0"/>
        <w:keepNext w:val="0"/>
        <w:pageBreakBefore w:val="0"/>
        <w:spacing w:line="480" w:lineRule="exact"/>
        <w:widowControl/>
        <w:rPr>
          <w:rFonts w:ascii="宋体" w:hAnsi="宋体" w:cs="宋体"/>
          <w:color w:val="auto"/>
          <w:szCs w:val="21"/>
          <w:highlight w:val="white"/>
        </w:rPr>
      </w:pPr>
      <w:r>
        <w:rPr>
          <w:rFonts w:hint="eastAsia" w:ascii="宋体" w:hAnsi="宋体" w:cs="宋体"/>
          <w:color w:val="auto"/>
          <w:szCs w:val="21"/>
          <w:highlight w:val="white"/>
        </w:rPr>
        <w:t xml:space="preserve">2、开启时间与地点：</w:t>
      </w:r>
      <w:r>
        <w:rPr>
          <w:highlight w:val="white"/>
        </w:rPr>
      </w:r>
    </w:p>
    <w:p>
      <w:pPr>
        <w:contextualSpacing/>
        <w:ind w:firstLine="527"/>
        <w:jc w:val="left"/>
        <w:keepLines w:val="0"/>
        <w:keepNext w:val="0"/>
        <w:pageBreakBefore w:val="0"/>
        <w:spacing w:line="480" w:lineRule="exact"/>
        <w:widowControl/>
        <w:rPr>
          <w:rFonts w:ascii="宋体" w:hAnsi="宋体" w:cs="宋体"/>
          <w:b/>
          <w:color w:val="auto"/>
          <w:szCs w:val="21"/>
          <w:highlight w:val="white"/>
        </w:rPr>
      </w:pPr>
      <w:r>
        <w:rPr>
          <w:rFonts w:hint="eastAsia" w:ascii="宋体" w:hAnsi="宋体" w:cs="宋体"/>
          <w:b/>
          <w:color w:val="auto"/>
          <w:szCs w:val="21"/>
          <w:highlight w:val="white"/>
        </w:rPr>
        <w:t xml:space="preserve">时间</w:t>
      </w:r>
      <w:r>
        <w:rPr>
          <w:rFonts w:hint="eastAsia" w:ascii="宋体" w:hAnsi="宋体" w:cs="宋体"/>
          <w:b/>
          <w:color w:val="auto"/>
          <w:szCs w:val="21"/>
          <w:highlight w:val="white"/>
        </w:rPr>
        <w:t xml:space="preserve">：</w:t>
      </w:r>
      <w:r>
        <w:rPr>
          <w:rFonts w:ascii="Times New Roman" w:hAnsi="Times New Roman" w:eastAsia="Times New Roman" w:cs="Times New Roman"/>
          <w:b/>
          <w:color w:val="000000"/>
          <w:sz w:val="21"/>
          <w:highlight w:val="white"/>
          <w:u w:val="none"/>
        </w:rPr>
        <w:t xml:space="preserve">2026</w:t>
      </w:r>
      <w:r>
        <w:rPr>
          <w:rFonts w:hAnsi="宋体"/>
          <w:b/>
          <w:bCs/>
          <w:color w:val="auto"/>
          <w:szCs w:val="21"/>
          <w:highlight w:val="white"/>
          <w:u w:val="none"/>
        </w:rPr>
        <w:t xml:space="preserve">年08</w:t>
      </w:r>
      <w:r>
        <w:rPr>
          <w:rFonts w:hint="eastAsia" w:hAnsi="宋体"/>
          <w:b/>
          <w:bCs/>
          <w:color w:val="auto"/>
          <w:szCs w:val="21"/>
          <w:highlight w:val="white"/>
          <w:u w:val="none"/>
          <w:lang w:val="en-US" w:eastAsia="zh-CN"/>
        </w:rPr>
        <w:t xml:space="preserve">月12</w:t>
      </w:r>
      <w:r>
        <w:rPr>
          <w:rFonts w:hAnsi="宋体"/>
          <w:b/>
          <w:bCs/>
          <w:color w:val="auto"/>
          <w:szCs w:val="21"/>
          <w:highlight w:val="white"/>
          <w:u w:val="none"/>
        </w:rPr>
        <w:t xml:space="preserve">日14</w:t>
      </w:r>
      <w:r>
        <w:rPr>
          <w:rFonts w:hAnsi="宋体"/>
          <w:b/>
          <w:bCs/>
          <w:color w:val="auto"/>
          <w:szCs w:val="21"/>
          <w:highlight w:val="white"/>
          <w:u w:val="none"/>
        </w:rPr>
        <w:t xml:space="preserve">点30</w:t>
      </w:r>
      <w:r>
        <w:rPr>
          <w:rFonts w:hAnsi="宋体"/>
          <w:b/>
          <w:bCs/>
          <w:color w:val="auto"/>
          <w:szCs w:val="21"/>
          <w:highlight w:val="white"/>
          <w:u w:val="none"/>
        </w:rPr>
        <w:t xml:space="preserve">分</w:t>
      </w:r>
      <w:r>
        <w:rPr>
          <w:rFonts w:hint="eastAsia" w:ascii="宋体" w:hAnsi="宋体" w:cs="宋体"/>
          <w:b/>
          <w:color w:val="auto"/>
          <w:szCs w:val="21"/>
          <w:highlight w:val="white"/>
        </w:rPr>
        <w:t xml:space="preserve">（北京时间）</w:t>
      </w:r>
      <w:r>
        <w:rPr>
          <w:highlight w:val="white"/>
        </w:rPr>
      </w:r>
    </w:p>
    <w:p>
      <w:pPr>
        <w:contextualSpacing/>
        <w:ind w:firstLine="527"/>
        <w:jc w:val="left"/>
        <w:keepLines w:val="0"/>
        <w:keepNext w:val="0"/>
        <w:pageBreakBefore w:val="0"/>
        <w:spacing w:line="480" w:lineRule="exact"/>
        <w:widowControl/>
        <w:rPr>
          <w:rFonts w:ascii="宋体" w:hAnsi="宋体" w:cs="宋体"/>
          <w:color w:val="auto"/>
          <w:szCs w:val="21"/>
          <w:highlight w:val="none"/>
        </w:rPr>
      </w:pPr>
      <w:r>
        <w:rPr>
          <w:rFonts w:hint="eastAsia" w:ascii="宋体" w:hAnsi="宋体" w:cs="宋体"/>
          <w:b/>
          <w:color w:val="auto"/>
          <w:szCs w:val="21"/>
          <w:highlight w:val="white"/>
        </w:rPr>
        <w:t xml:space="preserve">地址：</w:t>
      </w:r>
      <w:r>
        <w:rPr>
          <w:rFonts w:hint="eastAsia" w:ascii="宋体" w:hAnsi="宋体" w:cs="宋体"/>
          <w:b/>
          <w:color w:val="auto"/>
          <w:szCs w:val="21"/>
          <w:highlight w:val="white"/>
          <w:lang w:eastAsia="zh-CN"/>
        </w:rPr>
        <w:t xml:space="preserve">江苏省政府采购管理交易系统(苏</w:t>
      </w:r>
      <w:r>
        <w:rPr>
          <w:rFonts w:hint="eastAsia" w:ascii="宋体" w:hAnsi="宋体" w:cs="宋体"/>
          <w:b/>
          <w:color w:val="auto"/>
          <w:szCs w:val="21"/>
          <w:highlight w:val="none"/>
          <w:lang w:eastAsia="zh-CN"/>
        </w:rPr>
        <w:t xml:space="preserve">采云)</w:t>
      </w:r>
      <w:r>
        <w:rPr>
          <w:rFonts w:hint="eastAsia" w:ascii="宋体" w:hAnsi="宋体" w:cs="宋体"/>
          <w:b/>
          <w:color w:val="auto"/>
          <w:szCs w:val="21"/>
          <w:highlight w:val="none"/>
        </w:rPr>
        <w:t xml:space="preserve">网上开标大厅。</w:t>
      </w:r>
      <w:r/>
    </w:p>
    <w:p>
      <w:pPr>
        <w:pStyle w:val="85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五、公告期限</w:t>
      </w:r>
      <w:r/>
    </w:p>
    <w:p>
      <w:pPr>
        <w:pStyle w:val="855"/>
        <w:contextualSpacing/>
        <w:ind w:firstLine="420"/>
        <w:keepLines w:val="0"/>
        <w:keepNext w:val="0"/>
        <w:pageBreakBefore w:val="0"/>
        <w:spacing w:before="0" w:beforeAutospacing="0" w:after="0" w:afterAutospacing="0" w:line="480" w:lineRule="exact"/>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5"/>
        <w:contextualSpacing/>
        <w:ind w:firstLine="422"/>
        <w:keepLines w:val="0"/>
        <w:keepNext w:val="0"/>
        <w:pageBreakBefore w:val="0"/>
        <w:spacing w:before="0" w:beforeAutospacing="0" w:after="0" w:afterAutospacing="0" w:line="480" w:lineRule="exact"/>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http://www.ccgp-jiangsu.gov.cn/jiangsu/zlxz/ee/ee3a4bc5a3454aa2b0d9312230633ce9.html</w:t>
      </w:r>
      <w:r/>
    </w:p>
    <w:p>
      <w:pPr>
        <w:pStyle w:val="855"/>
        <w:contextualSpacing/>
        <w:ind w:firstLine="420"/>
        <w:keepLines w:val="0"/>
        <w:keepNext w:val="0"/>
        <w:pageBreakBefore w:val="0"/>
        <w:spacing w:before="0" w:beforeAutospacing="0" w:after="0" w:afterAutospacing="0" w:line="4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55"/>
        <w:contextualSpacing/>
        <w:ind w:firstLine="422"/>
        <w:keepLines w:val="0"/>
        <w:keepNext w:val="0"/>
        <w:pageBreakBefore w:val="0"/>
        <w:spacing w:before="0" w:beforeAutospacing="0" w:after="0" w:afterAutospacing="0"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hAnsi="宋体" w:cs="宋体"/>
          <w:color w:val="auto"/>
          <w:sz w:val="21"/>
          <w:szCs w:val="21"/>
          <w:highlight w:val="none"/>
          <w:lang w:eastAsia="zh-CN"/>
        </w:rPr>
        <w:t xml:space="preserve">连云港市连云区人民政府板桥街道办事处</w:t>
      </w:r>
      <w:r/>
    </w:p>
    <w:p>
      <w:pPr>
        <w:pStyle w:val="855"/>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联系电话：15151233085</w:t>
      </w:r>
      <w:r>
        <w:rPr>
          <w:rFonts w:hint="eastAsia" w:hAnsi="宋体" w:cs="宋体"/>
          <w:color w:val="auto"/>
          <w:sz w:val="21"/>
          <w:szCs w:val="21"/>
          <w:highlight w:val="none"/>
          <w:lang w:val="en-US" w:eastAsia="zh-CN"/>
        </w:rPr>
        <w:t xml:space="preserve"> </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hAnsi="宋体" w:cs="宋体"/>
          <w:color w:val="auto"/>
          <w:sz w:val="21"/>
          <w:szCs w:val="21"/>
          <w:highlight w:val="none"/>
          <w:lang w:eastAsia="zh-CN"/>
        </w:rPr>
        <w:t xml:space="preserve">连云港市连云区人民政府板桥街道办事处</w:t>
      </w:r>
      <w:r/>
    </w:p>
    <w:p>
      <w:pPr>
        <w:pStyle w:val="85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55"/>
        <w:contextualSpacing/>
        <w:ind w:firstLine="42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5"/>
        <w:contextualSpacing/>
        <w:ind w:firstLine="1050"/>
        <w:keepLines w:val="0"/>
        <w:keepNext w:val="0"/>
        <w:pageBreakBefore w:val="0"/>
        <w:spacing w:before="0" w:beforeAutospacing="0" w:after="0" w:afterAutospacing="0"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hAnsi="宋体" w:cs="宋体"/>
          <w:color w:val="auto"/>
          <w:sz w:val="21"/>
          <w:szCs w:val="21"/>
          <w:highlight w:val="none"/>
          <w:lang w:val="en-US" w:eastAsia="zh-CN"/>
        </w:rPr>
        <w:t xml:space="preserve">钱</w:t>
      </w:r>
      <w:r>
        <w:rPr>
          <w:rFonts w:hint="eastAsia" w:ascii="宋体" w:hAnsi="宋体" w:eastAsia="宋体" w:cs="宋体"/>
          <w:color w:val="auto"/>
          <w:sz w:val="21"/>
          <w:szCs w:val="21"/>
          <w:highlight w:val="none"/>
          <w:lang w:val="en-US" w:eastAsia="zh-CN"/>
        </w:rPr>
        <w:t xml:space="preserve">先生  </w:t>
      </w:r>
      <w:r/>
    </w:p>
    <w:p>
      <w:pPr>
        <w:pStyle w:val="855"/>
        <w:contextualSpacing/>
        <w:ind w:firstLine="1050"/>
        <w:keepLines w:val="0"/>
        <w:keepNext w:val="0"/>
        <w:pageBreakBefore w:val="0"/>
        <w:spacing w:before="0" w:beforeAutospacing="0" w:after="0" w:afterAutospacing="0" w:line="48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联系电话：15151233085</w:t>
      </w:r>
      <w:r>
        <w:rPr>
          <w:rFonts w:hint="eastAsia" w:hAnsi="宋体" w:cs="宋体"/>
          <w:color w:val="auto"/>
          <w:sz w:val="21"/>
          <w:szCs w:val="21"/>
          <w:highlight w:val="none"/>
          <w:lang w:val="en-US" w:eastAsia="zh-CN"/>
        </w:rPr>
        <w:t xml:space="preserve"> </w:t>
      </w:r>
      <w:r/>
    </w:p>
    <w:p>
      <w:pPr>
        <w:pStyle w:val="879"/>
        <w:keepLines w:val="0"/>
        <w:keepNext w:val="0"/>
        <w:pageBreakBefore w:val="0"/>
        <w:spacing w:line="480" w:lineRule="exact"/>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white"/>
        </w:rPr>
        <w:t xml:space="preserve">    </w:t>
      </w:r>
      <w:r>
        <w:rPr>
          <w:rFonts w:hint="eastAsia" w:ascii="宋体" w:hAnsi="宋体" w:eastAsia="宋体" w:cs="宋体"/>
          <w:b/>
          <w:bCs/>
          <w:color w:val="auto"/>
          <w:sz w:val="21"/>
          <w:szCs w:val="21"/>
          <w:highlight w:val="white"/>
        </w:rPr>
        <w:t xml:space="preserve">  </w:t>
      </w:r>
      <w:r>
        <w:rPr>
          <w:rFonts w:hint="eastAsia" w:ascii="宋体" w:hAnsi="宋体" w:eastAsia="宋体" w:cs="宋体"/>
          <w:b/>
          <w:bCs/>
          <w:color w:val="auto"/>
          <w:sz w:val="21"/>
          <w:szCs w:val="21"/>
          <w:highlight w:val="white"/>
        </w:rPr>
        <w:t xml:space="preserve">20</w:t>
      </w:r>
      <w:r>
        <w:rPr>
          <w:rFonts w:hint="eastAsia" w:ascii="宋体" w:hAnsi="宋体" w:eastAsia="宋体" w:cs="宋体"/>
          <w:b/>
          <w:bCs/>
          <w:color w:val="auto"/>
          <w:sz w:val="21"/>
          <w:szCs w:val="21"/>
          <w:highlight w:val="white"/>
          <w:lang w:val="en-US" w:eastAsia="zh-CN"/>
        </w:rPr>
        <w:t xml:space="preserve">26</w:t>
      </w:r>
      <w:r>
        <w:rPr>
          <w:rFonts w:hint="eastAsia" w:ascii="宋体" w:hAnsi="宋体" w:eastAsia="宋体" w:cs="宋体"/>
          <w:b/>
          <w:bCs/>
          <w:color w:val="auto"/>
          <w:sz w:val="21"/>
          <w:szCs w:val="21"/>
          <w:highlight w:val="white"/>
        </w:rPr>
        <w:t xml:space="preserve">年</w:t>
      </w:r>
      <w:r>
        <w:rPr>
          <w:rFonts w:hint="eastAsia" w:ascii="宋体" w:hAnsi="宋体" w:eastAsia="宋体" w:cs="宋体"/>
          <w:b/>
          <w:bCs/>
          <w:color w:val="auto"/>
          <w:sz w:val="21"/>
          <w:szCs w:val="21"/>
          <w:highlight w:val="white"/>
          <w:lang w:val="en-US" w:eastAsia="zh-CN"/>
        </w:rPr>
        <w:t xml:space="preserve">07</w:t>
      </w:r>
      <w:r>
        <w:rPr>
          <w:rFonts w:hint="eastAsia" w:ascii="宋体" w:hAnsi="宋体" w:eastAsia="宋体" w:cs="宋体"/>
          <w:b/>
          <w:bCs/>
          <w:color w:val="auto"/>
          <w:sz w:val="21"/>
          <w:szCs w:val="21"/>
          <w:highlight w:val="white"/>
        </w:rPr>
        <w:t xml:space="preserve">月</w:t>
      </w:r>
      <w:r>
        <w:rPr>
          <w:rFonts w:hint="eastAsia" w:ascii="宋体" w:hAnsi="宋体" w:eastAsia="宋体" w:cs="宋体"/>
          <w:b/>
          <w:bCs/>
          <w:color w:val="auto"/>
          <w:sz w:val="21"/>
          <w:szCs w:val="21"/>
          <w:highlight w:val="white"/>
        </w:rPr>
        <w:t xml:space="preserve">29</w:t>
      </w:r>
      <w:r>
        <w:rPr>
          <w:rFonts w:hint="eastAsia" w:ascii="宋体" w:hAnsi="宋体" w:eastAsia="宋体" w:cs="宋体"/>
          <w:b/>
          <w:bCs/>
          <w:color w:val="auto"/>
          <w:sz w:val="21"/>
          <w:szCs w:val="21"/>
          <w:highlight w:val="white"/>
        </w:rPr>
        <w:t xml:space="preserve">日</w:t>
      </w:r>
      <w:r/>
    </w:p>
    <w:p>
      <w:pPr>
        <w:rPr>
          <w:color w:val="auto"/>
          <w:highlight w:val="none"/>
        </w:rPr>
      </w:pPr>
      <w:r/>
      <w:bookmarkStart w:id="86" w:name="_Toc14577347"/>
      <w:r/>
      <w:bookmarkStart w:id="87" w:name="_Toc513029209"/>
      <w:r/>
      <w:bookmarkStart w:id="88" w:name="_Toc61149549"/>
      <w:r/>
      <w:r/>
    </w:p>
    <w:p>
      <w:pPr>
        <w:pStyle w:val="812"/>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spacing w:before="120" w:after="120" w:line="360" w:lineRule="auto"/>
        <w:rPr>
          <w:rFonts w:ascii="黑体" w:hAnsi="黑体" w:eastAsia="黑体" w:cs="宋体"/>
          <w:bCs/>
          <w:color w:val="auto"/>
          <w:szCs w:val="21"/>
          <w:highlight w:val="none"/>
        </w:rPr>
        <w:outlineLvl w:val="1"/>
      </w:pPr>
      <w:r/>
      <w:bookmarkStart w:id="90" w:name="_Toc25775"/>
      <w:r/>
      <w:bookmarkStart w:id="91" w:name="_Toc513029237"/>
      <w:r/>
      <w:bookmarkStart w:id="92" w:name="_Toc16938553"/>
      <w:r/>
      <w:bookmarkStart w:id="93" w:name="_Toc20823309"/>
      <w:r>
        <w:rPr>
          <w:rFonts w:hint="eastAsia" w:ascii="黑体" w:hAnsi="黑体" w:eastAsia="黑体" w:cs="宋体"/>
          <w:bCs/>
          <w:color w:val="auto"/>
          <w:szCs w:val="21"/>
          <w:highlight w:val="none"/>
        </w:rPr>
        <w:t xml:space="preserve">一、总则</w:t>
      </w:r>
      <w:bookmarkEnd w:id="9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5"/>
        <w:contextualSpacing/>
        <w:ind w:firstLine="422"/>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513029211"/>
      <w:r/>
      <w:bookmarkStart w:id="95" w:name="_Toc16938527"/>
      <w:r/>
      <w:bookmarkStart w:id="96" w:name="_Toc462564070"/>
      <w:r/>
      <w:bookmarkStart w:id="97" w:name="_Toc20823283"/>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spacing w:before="120" w:after="120" w:line="360" w:lineRule="auto"/>
        <w:rPr>
          <w:rFonts w:ascii="黑体" w:hAnsi="黑体" w:eastAsia="黑体" w:cs="宋体"/>
          <w:bCs/>
          <w:color w:val="auto"/>
          <w:szCs w:val="21"/>
          <w:highlight w:val="none"/>
        </w:rPr>
        <w:outlineLvl w:val="1"/>
      </w:pPr>
      <w:r/>
      <w:bookmarkStart w:id="98" w:name="_Hlt26670345"/>
      <w:r/>
      <w:bookmarkEnd w:id="98"/>
      <w:r/>
      <w:bookmarkStart w:id="99" w:name="_Hlt26670354"/>
      <w:r/>
      <w:bookmarkEnd w:id="99"/>
      <w:r/>
      <w:bookmarkStart w:id="100" w:name="_Hlt26670348"/>
      <w:r/>
      <w:bookmarkEnd w:id="100"/>
      <w:r/>
      <w:bookmarkStart w:id="101" w:name="_Hlt26954832"/>
      <w:r/>
      <w:bookmarkEnd w:id="101"/>
      <w:r/>
      <w:bookmarkStart w:id="102" w:name="_Hlt26668969"/>
      <w:r/>
      <w:bookmarkEnd w:id="102"/>
      <w:r/>
      <w:bookmarkStart w:id="103" w:name="_Hlt26954830"/>
      <w:r/>
      <w:bookmarkEnd w:id="103"/>
      <w:r/>
      <w:bookmarkStart w:id="104" w:name="_Hlt26954828"/>
      <w:r/>
      <w:bookmarkEnd w:id="104"/>
      <w:r/>
      <w:bookmarkStart w:id="105" w:name="_Toc462564072"/>
      <w:r/>
      <w:bookmarkStart w:id="106" w:name="_Toc61149553"/>
      <w:r/>
      <w:bookmarkStart w:id="107" w:name="_Toc513029213"/>
      <w:r/>
      <w:bookmarkStart w:id="108" w:name="_Toc14577351"/>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spacing w:line="360" w:lineRule="auto"/>
        <w:tabs>
          <w:tab w:val="left" w:pos="900" w:leader="none"/>
        </w:tabs>
        <w:rPr>
          <w:rFonts w:ascii="宋体" w:hAnsi="宋体"/>
          <w:color w:val="auto"/>
          <w:szCs w:val="21"/>
          <w:highlight w:val="none"/>
        </w:rPr>
      </w:pPr>
      <w:r/>
      <w:bookmarkStart w:id="110" w:name="_Hlt26954834"/>
      <w:r/>
      <w:bookmarkEnd w:id="110"/>
      <w:r/>
      <w:bookmarkStart w:id="111" w:name="_Toc61149555"/>
      <w:r/>
      <w:bookmarkStart w:id="112" w:name="_Toc14577353"/>
      <w:r/>
      <w:bookmarkStart w:id="113" w:name="_Toc462564074"/>
      <w:r/>
      <w:bookmarkStart w:id="114" w:name="_Toc513029215"/>
      <w:r/>
      <w:bookmarkStart w:id="115" w:name="_Toc513029214"/>
      <w:r/>
      <w:bookmarkStart w:id="116" w:name="_Toc462564073"/>
      <w:r/>
      <w:bookmarkStart w:id="117" w:name="_Toc14577352"/>
      <w:r/>
      <w:bookmarkStart w:id="118" w:name="_Toc61149554"/>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14577357"/>
      <w:r/>
      <w:bookmarkStart w:id="122" w:name="_Toc513029219"/>
      <w:r/>
      <w:bookmarkStart w:id="123" w:name="_Toc61149558"/>
      <w:r/>
      <w:bookmarkStart w:id="124" w:name="_Toc61149557"/>
      <w:r/>
      <w:bookmarkStart w:id="125" w:name="_Toc513029217"/>
      <w:r/>
      <w:bookmarkStart w:id="126" w:name="_Toc14577355"/>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spacing w:line="360" w:lineRule="auto"/>
        <w:tabs>
          <w:tab w:val="left" w:pos="900" w:leader="none"/>
        </w:tabs>
        <w:rPr>
          <w:rFonts w:ascii="宋体" w:hAnsi="宋体"/>
          <w:color w:val="auto"/>
          <w:szCs w:val="21"/>
          <w:highlight w:val="none"/>
        </w:rPr>
      </w:pPr>
      <w:r/>
      <w:bookmarkStart w:id="128" w:name="_Hlt26954848"/>
      <w:r/>
      <w:bookmarkEnd w:id="128"/>
      <w:r/>
      <w:bookmarkStart w:id="129" w:name="_Hlt26954842"/>
      <w:r/>
      <w:bookmarkEnd w:id="129"/>
      <w:r/>
      <w:bookmarkStart w:id="130" w:name="_Hlt26670482"/>
      <w:r/>
      <w:bookmarkEnd w:id="130"/>
      <w:r/>
      <w:bookmarkStart w:id="131" w:name="_Hlt26954844"/>
      <w:r/>
      <w:bookmarkEnd w:id="131"/>
      <w:r/>
      <w:bookmarkStart w:id="132" w:name="_Hlt26954731"/>
      <w:r/>
      <w:bookmarkEnd w:id="132"/>
      <w:r/>
      <w:bookmarkStart w:id="133" w:name="_Hlt26670486"/>
      <w:r/>
      <w:bookmarkEnd w:id="133"/>
      <w:r/>
      <w:bookmarkStart w:id="134" w:name="_Hlt26670403"/>
      <w:r/>
      <w:bookmarkEnd w:id="134"/>
      <w:r/>
      <w:bookmarkStart w:id="135" w:name="_Hlt26954846"/>
      <w:r/>
      <w:bookmarkEnd w:id="135"/>
      <w:r/>
      <w:bookmarkStart w:id="136" w:name="_Hlt26668983"/>
      <w:r/>
      <w:bookmarkEnd w:id="136"/>
      <w:r/>
      <w:bookmarkStart w:id="137" w:name="_Hlt26670425"/>
      <w:r/>
      <w:bookmarkEnd w:id="137"/>
      <w:r/>
      <w:bookmarkStart w:id="138" w:name="_Toc513029221"/>
      <w:r/>
      <w:bookmarkStart w:id="139" w:name="_Toc14577359"/>
      <w:r/>
      <w:bookmarkStart w:id="140" w:name="_Toc61149559"/>
      <w:r>
        <w:rPr>
          <w:rFonts w:hint="eastAsia" w:ascii="宋体" w:hAnsi="宋体"/>
          <w:color w:val="auto"/>
          <w:szCs w:val="21"/>
          <w:highlight w:val="none"/>
        </w:rPr>
        <w:t xml:space="preserve">4、项目需求响应方案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spacing w:before="120" w:after="120" w:line="360" w:lineRule="auto"/>
        <w:rPr>
          <w:rFonts w:ascii="黑体" w:hAnsi="黑体" w:eastAsia="黑体" w:cs="宋体"/>
          <w:bCs/>
          <w:color w:val="auto"/>
          <w:szCs w:val="21"/>
          <w:highlight w:val="none"/>
        </w:rPr>
        <w:outlineLvl w:val="1"/>
      </w:pPr>
      <w:r/>
      <w:bookmarkStart w:id="141" w:name="_Hlt26670493"/>
      <w:r/>
      <w:bookmarkEnd w:id="141"/>
      <w:r/>
      <w:bookmarkStart w:id="142" w:name="_Hlt26954749"/>
      <w:r/>
      <w:bookmarkEnd w:id="142"/>
      <w:r/>
      <w:bookmarkStart w:id="143" w:name="_Hlt26954739"/>
      <w:r/>
      <w:bookmarkEnd w:id="143"/>
      <w:r/>
      <w:bookmarkStart w:id="144" w:name="_Hlt26954734"/>
      <w:r/>
      <w:bookmarkEnd w:id="144"/>
      <w:r/>
      <w:bookmarkStart w:id="145" w:name="_Hlt26954852"/>
      <w:r/>
      <w:bookmarkEnd w:id="145"/>
      <w:r/>
      <w:bookmarkStart w:id="146" w:name="_Hlt26954854"/>
      <w:r/>
      <w:bookmarkEnd w:id="146"/>
      <w:r/>
      <w:bookmarkStart w:id="147" w:name="_Hlt26670489"/>
      <w:r/>
      <w:bookmarkEnd w:id="147"/>
      <w:r/>
      <w:bookmarkStart w:id="148" w:name="_Hlt26954850"/>
      <w:r/>
      <w:bookmarkEnd w:id="148"/>
      <w:r/>
      <w:bookmarkStart w:id="149" w:name="_Toc513029224"/>
      <w:r/>
      <w:bookmarkStart w:id="150" w:name="_Toc1959"/>
      <w:r/>
      <w:bookmarkStart w:id="151" w:name="_Toc61149562"/>
      <w:r/>
      <w:bookmarkStart w:id="152" w:name="_Toc145773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spacing w:line="360" w:lineRule="auto"/>
        <w:tabs>
          <w:tab w:val="left" w:pos="900" w:leader="none"/>
        </w:tabs>
        <w:rPr>
          <w:rFonts w:ascii="宋体" w:hAnsi="宋体"/>
          <w:color w:val="auto"/>
          <w:szCs w:val="21"/>
          <w:highlight w:val="none"/>
        </w:rPr>
      </w:pPr>
      <w:r/>
      <w:bookmarkStart w:id="154" w:name="_Hlt26670523"/>
      <w:r/>
      <w:bookmarkEnd w:id="154"/>
      <w:r/>
      <w:bookmarkStart w:id="155" w:name="_Hlt26954864"/>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spacing w:before="120" w:after="120"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spacing w:line="360" w:lineRule="auto"/>
        <w:tabs>
          <w:tab w:val="left" w:pos="900" w:leader="none"/>
        </w:tabs>
        <w:rPr>
          <w:rFonts w:hint="eastAsia" w:ascii="宋体" w:hAnsi="宋体"/>
          <w:color w:val="auto"/>
          <w:szCs w:val="21"/>
          <w:highlight w:val="none"/>
        </w:rPr>
      </w:pPr>
      <w:r/>
      <w:bookmarkStart w:id="157" w:name="_Toc16938546"/>
      <w:r/>
      <w:bookmarkStart w:id="158" w:name="_Toc20823302"/>
      <w:r/>
      <w:bookmarkStart w:id="159" w:name="_Toc513029230"/>
      <w:r/>
      <w:bookmarkStart w:id="160" w:name="_Toc16938551"/>
      <w:r/>
      <w:bookmarkStart w:id="161" w:name="_Toc20823307"/>
      <w:r/>
      <w:bookmarkStart w:id="162" w:name="_Toc513029235"/>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spacing w:line="360" w:lineRule="auto"/>
        <w:tabs>
          <w:tab w:val="left" w:pos="900" w:leader="none"/>
        </w:tabs>
        <w:rPr>
          <w:rFonts w:hint="eastAsia" w:ascii="宋体" w:hAnsi="宋体"/>
          <w:color w:val="auto"/>
          <w:szCs w:val="21"/>
          <w:highlight w:val="none"/>
        </w:rPr>
      </w:pPr>
      <w:r/>
      <w:bookmarkStart w:id="163" w:name="_Toc16938547"/>
      <w:r/>
      <w:bookmarkStart w:id="164" w:name="_Toc20823303"/>
      <w:r/>
      <w:bookmarkStart w:id="165" w:name="_Toc513029231"/>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spacing w:line="360" w:lineRule="auto"/>
        <w:tabs>
          <w:tab w:val="left" w:pos="900" w:leader="none"/>
        </w:tabs>
        <w:rPr>
          <w:rFonts w:hint="eastAsia" w:ascii="宋体" w:hAnsi="宋体"/>
          <w:color w:val="auto"/>
          <w:szCs w:val="21"/>
          <w:highlight w:val="none"/>
        </w:rPr>
      </w:pPr>
      <w:r/>
      <w:bookmarkStart w:id="169" w:name="_Toc20823305"/>
      <w:r/>
      <w:bookmarkStart w:id="170" w:name="_Toc16938549"/>
      <w:r/>
      <w:bookmarkStart w:id="171" w:name="_Toc513029233"/>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5"/>
        <w:contextualSpacing/>
        <w:ind w:firstLine="422"/>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5"/>
        <w:contextualSpacing/>
        <w:ind w:firstLine="422"/>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5"/>
        <w:contextualSpacing/>
        <w:ind w:firstLine="422"/>
        <w:spacing w:before="0" w:beforeAutospacing="0" w:after="0" w:afterAutospacing="0"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15</w:t>
      </w:r>
      <w:r>
        <w:rPr>
          <w:rFonts w:hint="eastAsia" w:ascii="Times New Roman" w:hAnsi="Times New Roman" w:eastAsia="宋体" w:cs="Times New Roman"/>
          <w:b/>
          <w:bCs/>
          <w:color w:val="auto"/>
          <w:sz w:val="21"/>
          <w:szCs w:val="21"/>
          <w:highlight w:val="none"/>
        </w:rPr>
        <w:t xml:space="preserve">) 不同磋商供应商的响应文件以及响应文件制作过程出现了评审委员会认为不应当雷同的情况的；</w:t>
      </w:r>
      <w:r/>
    </w:p>
    <w:p>
      <w:pPr>
        <w:pStyle w:val="855"/>
        <w:contextualSpacing/>
        <w:ind w:firstLine="422"/>
        <w:spacing w:before="0" w:beforeAutospacing="0" w:after="0" w:afterAutospacing="0"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16</w:t>
      </w:r>
      <w:r>
        <w:rPr>
          <w:rFonts w:hint="eastAsia" w:ascii="Times New Roman" w:hAnsi="Times New Roman" w:eastAsia="宋体" w:cs="Times New Roman"/>
          <w:b/>
          <w:bCs/>
          <w:color w:val="auto"/>
          <w:sz w:val="21"/>
          <w:szCs w:val="21"/>
          <w:highlight w:val="none"/>
        </w:rPr>
        <w:t xml:space="preserve">) 以他人的名义参与磋商、串通磋商、以行贿手段谋取成交或者以其他弄虚作假方式参与磋商的；</w:t>
      </w:r>
      <w:r/>
    </w:p>
    <w:p>
      <w:pPr>
        <w:pStyle w:val="855"/>
        <w:contextualSpacing/>
        <w:ind w:firstLine="211"/>
        <w:spacing w:before="0" w:beforeAutospacing="0" w:after="0" w:afterAutospacing="0" w:line="360" w:lineRule="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17</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供应商在苏采云系统规定的时间内未成功解密电子响应文件的</w:t>
      </w:r>
      <w:r>
        <w:rPr>
          <w:rFonts w:hint="eastAsia" w:ascii="Times New Roman" w:hAnsi="Times New Roman" w:eastAsia="宋体" w:cs="Times New Roman"/>
          <w:b/>
          <w:bCs/>
          <w:color w:val="auto"/>
          <w:sz w:val="21"/>
          <w:szCs w:val="21"/>
          <w:highlight w:val="none"/>
          <w:lang w:eastAsia="zh-CN"/>
        </w:rPr>
        <w:t xml:space="preserve">；</w:t>
      </w:r>
      <w:r/>
    </w:p>
    <w:p>
      <w:pPr>
        <w:pStyle w:val="855"/>
        <w:contextualSpacing/>
        <w:ind w:firstLine="422"/>
        <w:spacing w:before="0" w:beforeAutospacing="0" w:after="0" w:afterAutospacing="0" w:line="360" w:lineRule="auto"/>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18</w:t>
      </w:r>
      <w:r>
        <w:rPr>
          <w:rFonts w:hint="eastAsia" w:ascii="Times New Roman" w:hAnsi="Times New Roman" w:eastAsia="宋体" w:cs="Times New Roman"/>
          <w:b/>
          <w:bCs/>
          <w:color w:val="auto"/>
          <w:sz w:val="21"/>
          <w:szCs w:val="21"/>
          <w:highlight w:val="none"/>
        </w:rPr>
        <w:t xml:space="preserve">) 不符合法律、法规和磋商文件中规定的其他实质性要求和条件的；</w:t>
      </w:r>
      <w:r/>
    </w:p>
    <w:p>
      <w:pPr>
        <w:pStyle w:val="855"/>
        <w:contextualSpacing/>
        <w:ind w:firstLine="422"/>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19</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spacing w:line="360" w:lineRule="auto"/>
        <w:tabs>
          <w:tab w:val="left" w:pos="900" w:leader="none"/>
        </w:tabs>
        <w:rPr>
          <w:rFonts w:hint="eastAsia" w:ascii="宋体" w:hAnsi="宋体"/>
          <w:color w:val="auto"/>
          <w:szCs w:val="21"/>
          <w:highlight w:val="none"/>
        </w:rPr>
      </w:pPr>
      <w:r/>
      <w:bookmarkStart w:id="172" w:name="_Toc16938550"/>
      <w:r/>
      <w:bookmarkStart w:id="173" w:name="_Toc20823306"/>
      <w:r/>
      <w:bookmarkStart w:id="174" w:name="_Toc513029234"/>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spacing w:before="120" w:after="120"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spacing w:line="360" w:lineRule="auto"/>
        <w:tabs>
          <w:tab w:val="left" w:pos="900" w:leader="none"/>
        </w:tabs>
        <w:rPr>
          <w:rFonts w:ascii="宋体" w:hAnsi="宋体"/>
          <w:color w:val="auto"/>
          <w:szCs w:val="21"/>
          <w:highlight w:val="none"/>
        </w:rPr>
      </w:pPr>
      <w:r/>
      <w:bookmarkStart w:id="176" w:name="_Toc513029238"/>
      <w:r/>
      <w:bookmarkStart w:id="177" w:name="_Toc20823310"/>
      <w:r/>
      <w:bookmarkStart w:id="178" w:name="_Toc16938554"/>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spacing w:before="120" w:after="120"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w:t>
      </w:r>
      <w:r>
        <w:rPr>
          <w:rFonts w:hint="eastAsia" w:ascii="宋体" w:hAnsi="宋体" w:eastAsia="宋体" w:cs="Times New Roman"/>
          <w:color w:val="auto"/>
          <w:szCs w:val="21"/>
          <w:highlight w:val="none"/>
        </w:rPr>
        <w:t xml:space="preserve">不得采用分包的形式履行合同，否则采购人有权终止合同，成交供应商的履约保证金将不予退还。转包或分包造成采购人损失的，成交供应商应承担相应赔偿责任。</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2、履约保证金：</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履约担保的形式： 现金（转账、电汇）或银行保函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履约担保的金额： </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价的10%；履约保函到期后仍在施工，应继续提供有效的履约担保，否则建设单位有权从工程进度款中扣取相应的履约保证金，银行保函有效期至本工程竣工验收合格之日止，现金在工程经竣工验收合格后 28 天内无息退还。</w:t>
      </w:r>
      <w:r>
        <w:rPr>
          <w:rFonts w:hint="eastAsia" w:ascii="宋体" w:hAnsi="宋体" w:eastAsia="宋体" w:cs="Times New Roman"/>
          <w:color w:val="auto"/>
          <w:szCs w:val="21"/>
          <w:highlight w:val="none"/>
          <w:lang w:val="en-US" w:eastAsia="zh-CN"/>
        </w:rPr>
        <w:t xml:space="preserve">成交人</w:t>
      </w:r>
      <w:r>
        <w:rPr>
          <w:rFonts w:hint="eastAsia" w:ascii="宋体" w:hAnsi="宋体" w:eastAsia="宋体" w:cs="Times New Roman"/>
          <w:color w:val="auto"/>
          <w:szCs w:val="21"/>
          <w:highlight w:val="none"/>
        </w:rPr>
        <w:t xml:space="preserve">应在中标公告发布后次日（以首个工作日开始计算）起15日内且合同签订前向</w:t>
      </w:r>
      <w:r>
        <w:rPr>
          <w:rFonts w:hint="eastAsia" w:ascii="宋体" w:hAnsi="宋体" w:eastAsia="宋体" w:cs="Times New Roman"/>
          <w:color w:val="auto"/>
          <w:szCs w:val="21"/>
          <w:highlight w:val="none"/>
          <w:lang w:val="en-US" w:eastAsia="zh-CN"/>
        </w:rPr>
        <w:t xml:space="preserve">采购</w:t>
      </w:r>
      <w:r>
        <w:rPr>
          <w:rFonts w:hint="eastAsia" w:ascii="宋体" w:hAnsi="宋体" w:eastAsia="宋体" w:cs="Times New Roman"/>
          <w:color w:val="auto"/>
          <w:szCs w:val="21"/>
          <w:highlight w:val="none"/>
        </w:rPr>
        <w:t xml:space="preserve">人提交，如无法在中标公告发布之日（以首个工作日开始计算）起15日内如约提交，将视为</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人主动放弃其</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资格，取消其</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资格。</w:t>
      </w:r>
      <w:r/>
    </w:p>
    <w:p>
      <w:pPr>
        <w:pStyle w:val="879"/>
        <w:ind w:firstLine="422"/>
        <w:rPr>
          <w:rFonts w:hint="eastAsia" w:ascii="宋体" w:hAnsi="宋体" w:eastAsia="宋体" w:cs="宋体"/>
          <w:b/>
          <w:bCs/>
          <w:color w:val="000000"/>
          <w:sz w:val="21"/>
          <w:szCs w:val="21"/>
          <w:u w:val="none"/>
          <w:lang w:val="en-US" w:eastAsia="zh-CN" w:bidi="ar-SA"/>
        </w:rPr>
      </w:pPr>
      <w:r>
        <w:rPr>
          <w:rFonts w:hint="eastAsia" w:ascii="宋体" w:hAnsi="宋体" w:cs="宋体"/>
          <w:b/>
          <w:bCs/>
          <w:color w:val="000000"/>
          <w:sz w:val="21"/>
          <w:szCs w:val="21"/>
          <w:u w:val="none"/>
          <w:lang w:val="en-US" w:eastAsia="zh-CN" w:bidi="ar-SA"/>
        </w:rPr>
        <w:t xml:space="preserve">注：</w:t>
      </w:r>
      <w:r>
        <w:rPr>
          <w:rFonts w:hint="default" w:ascii="宋体" w:hAnsi="宋体" w:eastAsia="宋体" w:cs="宋体"/>
          <w:b/>
          <w:bCs/>
          <w:color w:val="000000"/>
          <w:sz w:val="21"/>
          <w:szCs w:val="21"/>
          <w:u w:val="none"/>
          <w:lang w:val="en-US" w:eastAsia="zh-CN" w:bidi="ar-SA"/>
        </w:rPr>
        <w:t xml:space="preserve">承包人向发包人提供履约保证金后，发包人向承包人提供同等额度的工程款支付担保。</w:t>
      </w:r>
      <w:r/>
    </w:p>
    <w:p>
      <w:pPr>
        <w:ind w:firstLine="420"/>
        <w:jc w:val="left"/>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spacing w:before="120" w:after="120"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31"/>
        <w:ind w:firstLine="420"/>
        <w:spacing w:line="360" w:lineRule="auto"/>
        <w:rPr>
          <w:color w:val="auto"/>
          <w:szCs w:val="21"/>
          <w:highlight w:val="none"/>
        </w:rPr>
      </w:pPr>
      <w:r>
        <w:rPr>
          <w:color w:val="auto"/>
          <w:szCs w:val="21"/>
          <w:highlight w:val="none"/>
        </w:rPr>
      </w:r>
      <w:r/>
    </w:p>
    <w:p>
      <w:pPr>
        <w:jc w:val="center"/>
        <w:keepLines/>
        <w:keepNext/>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32045"/>
      <w:r/>
      <w:bookmarkStart w:id="182" w:name="_Toc513622228"/>
      <w:r/>
      <w:bookmarkStart w:id="183" w:name="_Toc139966427"/>
      <w:r/>
      <w:bookmarkStart w:id="184" w:name="_Toc139967211"/>
      <w:r/>
      <w:r/>
    </w:p>
    <w:p>
      <w:pPr>
        <w:pStyle w:val="827"/>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23"/>
        <w:ind w:firstLine="0"/>
        <w:jc w:val="center"/>
        <w:rPr>
          <w:rFonts w:hAnsi="宋体" w:cs="宋体"/>
          <w:b/>
          <w:bCs/>
          <w:color w:val="auto"/>
          <w:sz w:val="21"/>
          <w:szCs w:val="21"/>
          <w:highlight w:val="none"/>
        </w:rPr>
      </w:pPr>
      <w:r>
        <w:rPr>
          <w:rFonts w:hint="eastAsia" w:hAnsi="宋体" w:cs="宋体"/>
          <w:b/>
          <w:bCs/>
          <w:color w:val="auto"/>
          <w:sz w:val="21"/>
          <w:szCs w:val="21"/>
          <w:highlight w:val="none"/>
        </w:rPr>
        <w:t xml:space="preserve">第一部分  协议书格式</w:t>
      </w:r>
      <w:r/>
    </w:p>
    <w:p>
      <w:pPr>
        <w:pStyle w:val="1123"/>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鸿桥花园安置小区一二期基础设施改造维修项目</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鸿桥花园安置小区一二期基础设施改造维修项目</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u w:val="single"/>
          <w:lang w:eastAsia="zh-CN"/>
        </w:rPr>
        <w:t xml:space="preserve">鸿桥花园安置小区</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鸿桥花园安置小区一二期基础设施改造维修项目</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73"/>
          <w:rFonts w:hint="eastAsia" w:cs="Times New Roman"/>
          <w:sz w:val="21"/>
          <w:szCs w:val="21"/>
          <w:highlight w:val="none"/>
          <w:lang w:val="en-US" w:eastAsia="zh-CN"/>
        </w:rPr>
        <w:t xml:space="preserve">谈判</w:t>
      </w:r>
      <w:r>
        <w:rPr>
          <w:rStyle w:val="873"/>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连云港市连云区</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79"/>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79"/>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79"/>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5"/>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5"/>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5"/>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5"/>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5"/>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第二部分 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第三部分 专用合同条款</w:t>
      </w:r>
      <w:r/>
    </w:p>
    <w:p>
      <w:pPr>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hint="eastAsia" w:ascii="宋体" w:hAnsi="宋体" w:eastAsia="宋体" w:cs="宋体"/>
          <w:b/>
          <w:color w:val="auto"/>
          <w:sz w:val="21"/>
          <w:szCs w:val="21"/>
          <w:highlight w:val="none"/>
        </w:rPr>
      </w:pPr>
      <w:r/>
      <w:bookmarkStart w:id="199" w:name="_Toc351203633"/>
      <w:r>
        <w:rPr>
          <w:rFonts w:hint="eastAsia" w:ascii="宋体" w:hAnsi="宋体" w:eastAsia="宋体" w:cs="宋体"/>
          <w:b/>
          <w:color w:val="auto"/>
          <w:sz w:val="21"/>
          <w:szCs w:val="21"/>
          <w:highlight w:val="none"/>
        </w:rPr>
        <w:t xml:space="preserve">1</w:t>
      </w:r>
      <w:bookmarkStart w:id="200" w:name="_Toc297120456"/>
      <w:r/>
      <w:bookmarkStart w:id="201" w:name="_Toc296891196"/>
      <w:r/>
      <w:bookmarkStart w:id="202" w:name="_Toc292559866"/>
      <w:r/>
      <w:bookmarkStart w:id="203" w:name="_Toc296944495"/>
      <w:r/>
      <w:bookmarkStart w:id="204" w:name="_Toc296347155"/>
      <w:r/>
      <w:bookmarkStart w:id="205" w:name="_Toc297048342"/>
      <w:r/>
      <w:bookmarkStart w:id="206" w:name="_Toc296346657"/>
      <w:r/>
      <w:bookmarkStart w:id="207" w:name="_Toc296890984"/>
      <w:r/>
      <w:bookmarkStart w:id="208" w:name="_Toc296503156"/>
      <w:r/>
      <w:bookmarkStart w:id="209" w:name="_Toc292559361"/>
      <w:r>
        <w:rPr>
          <w:rFonts w:hint="eastAsia" w:ascii="宋体" w:hAnsi="宋体" w:eastAsia="宋体" w:cs="宋体"/>
          <w:b/>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1.1.1.10合同文件包括：</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本合同协议书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 中标通知书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⑶招标文件及相关补充通知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⑷投标书及其附件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⑸本合同专用条款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⑹本合同通用条款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⑺标准、规范及有关技术文件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⑻图纸</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⑼工程量清单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(10)工程报价单或预算书。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1.1.2.4监理人：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p>
    <w:p>
      <w:pPr>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      </w:t>
      </w:r>
      <w:r>
        <w:rPr>
          <w:rFonts w:hint="eastAsia" w:ascii="宋体" w:hAnsi="宋体" w:eastAsia="宋体" w:cs="宋体"/>
          <w:color w:val="000000"/>
          <w:sz w:val="21"/>
          <w:szCs w:val="21"/>
          <w:highlight w:val="none"/>
        </w:rPr>
        <w:t xml:space="preserve">。</w:t>
      </w:r>
      <w:r/>
    </w:p>
    <w:p>
      <w:pPr>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民法典》、《中华人民共和国建筑法》、《中华人民共和国招标投标法》、《中华人民共和国安全生产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规章等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color w:val="auto"/>
          <w:sz w:val="21"/>
          <w:szCs w:val="21"/>
          <w:highlight w:val="none"/>
          <w:u w:val="single"/>
        </w:rPr>
        <w:t xml:space="preserve"> 国家、地方相关的现行标准、规范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1）合同协议书；（2）中标通知书；（3）招标文件及相关补充文件；（4）投标函及其附录；（5）专用合同条款及其附件；（6）技术标准和要求；（7）图纸及变更资料；（8）已标价工程量清单；（9）通用合同条款；（10）其他合同文件</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color w:val="auto"/>
          <w:sz w:val="21"/>
          <w:szCs w:val="21"/>
          <w:highlight w:val="none"/>
          <w:u w:val="single"/>
        </w:rPr>
        <w:t xml:space="preserve">/。</w:t>
      </w:r>
      <w:r/>
    </w:p>
    <w:p>
      <w:pPr>
        <w:ind w:firstLine="420"/>
        <w:spacing w:after="120" w:line="360" w:lineRule="auto"/>
        <w:rPr>
          <w:rFonts w:hint="eastAsia" w:ascii="宋体" w:hAnsi="宋体" w:eastAsia="宋体" w:cs="宋体"/>
          <w:color w:val="000000"/>
          <w:sz w:val="21"/>
          <w:szCs w:val="21"/>
          <w:highlight w:val="none"/>
        </w:rPr>
        <w:outlineLvl w:val="0"/>
      </w:pPr>
      <w:r/>
      <w:bookmarkStart w:id="210" w:name="_Toc10749"/>
      <w:r>
        <w:rPr>
          <w:rFonts w:hint="eastAsia" w:ascii="宋体" w:hAnsi="宋体" w:eastAsia="宋体" w:cs="宋体"/>
          <w:color w:val="000000"/>
          <w:sz w:val="21"/>
          <w:szCs w:val="21"/>
          <w:highlight w:val="none"/>
        </w:rPr>
        <w:t xml:space="preserve">1.7 联络</w:t>
      </w:r>
      <w:bookmarkEnd w:id="21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1.7.1发</w:t>
      </w:r>
      <w:r>
        <w:rPr>
          <w:rFonts w:hint="eastAsia" w:ascii="宋体" w:hAnsi="宋体" w:eastAsia="宋体" w:cs="宋体"/>
          <w:color w:val="auto"/>
          <w:sz w:val="21"/>
          <w:szCs w:val="21"/>
          <w:highlight w:val="none"/>
        </w:rPr>
        <w:t xml:space="preserve">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lang w:eastAsia="zh-CN"/>
        </w:rPr>
        <w:t xml:space="preserve">工地办公室</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发包人代表</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项目负责人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1" w:name="_Toc312677986"/>
      <w:r/>
      <w:bookmarkStart w:id="212" w:name="_Toc303539100"/>
      <w:r/>
      <w:bookmarkStart w:id="213" w:name="_Toc300934943"/>
      <w:r/>
      <w:bookmarkStart w:id="214" w:name="_Toc304295521"/>
      <w:r/>
      <w:bookmarkStart w:id="215" w:name="_Toc318581155"/>
      <w:r>
        <w:rPr>
          <w:rFonts w:hint="eastAsia" w:ascii="宋体" w:hAnsi="宋体" w:eastAsia="宋体" w:cs="宋体"/>
          <w:color w:val="auto"/>
          <w:sz w:val="21"/>
          <w:szCs w:val="21"/>
          <w:highlight w:val="none"/>
        </w:rPr>
        <w:t xml:space="preserve">.10.1 出入现场的权利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由承包人按发包人要求负责取得出入施工现场所需的批准手续和全部权利</w:t>
      </w:r>
      <w:r>
        <w:rPr>
          <w:rFonts w:hint="eastAsia" w:ascii="宋体" w:hAnsi="宋体" w:eastAsia="宋体" w:cs="宋体"/>
          <w:b/>
          <w:color w:val="auto"/>
          <w:sz w:val="21"/>
          <w:szCs w:val="21"/>
          <w:highlight w:val="none"/>
          <w:u w:val="single"/>
          <w:lang w:eastAsia="zh-CN"/>
        </w:rPr>
        <w:t xml:space="preserve">,由此产生的全部费用由承包人自行承担</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1"/>
      <w:r/>
      <w:bookmarkEnd w:id="212"/>
      <w:r/>
      <w:bookmarkEnd w:id="213"/>
      <w:r/>
      <w:bookmarkEnd w:id="214"/>
      <w:r/>
      <w:bookmarkEnd w:id="215"/>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216" w:name="_Toc303539101"/>
      <w:r/>
      <w:bookmarkStart w:id="217" w:name="_Toc304295522"/>
      <w:r/>
      <w:bookmarkStart w:id="218" w:name="_Toc318581156"/>
      <w:r/>
      <w:bookmarkStart w:id="219" w:name="_Toc312677987"/>
      <w:r/>
      <w:bookmarkStart w:id="220" w:name="_Toc300934944"/>
      <w:r>
        <w:rPr>
          <w:rFonts w:hint="eastAsia" w:ascii="宋体" w:hAnsi="宋体" w:eastAsia="宋体" w:cs="宋体"/>
          <w:color w:val="auto"/>
          <w:sz w:val="21"/>
          <w:szCs w:val="21"/>
          <w:highlight w:val="none"/>
        </w:rPr>
        <w:t xml:space="preserve">.10.3 场内交通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双方另行确定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bookmarkEnd w:id="216"/>
      <w:r/>
      <w:bookmarkEnd w:id="217"/>
      <w:r/>
      <w:bookmarkEnd w:id="218"/>
      <w:r/>
      <w:bookmarkEnd w:id="219"/>
      <w:r/>
      <w:bookmarkEnd w:id="220"/>
      <w:r/>
      <w:bookmarkStart w:id="221" w:name="_Toc31858115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bookmarkEnd w:id="221"/>
      <w:r/>
      <w:r/>
    </w:p>
    <w:p>
      <w:pPr>
        <w:ind w:firstLine="420"/>
        <w:spacing w:after="120" w:line="360" w:lineRule="auto"/>
        <w:rPr>
          <w:rFonts w:hint="eastAsia" w:ascii="宋体" w:hAnsi="宋体" w:eastAsia="宋体" w:cs="宋体"/>
          <w:color w:val="auto"/>
          <w:sz w:val="21"/>
          <w:szCs w:val="21"/>
          <w:highlight w:val="none"/>
        </w:rPr>
        <w:outlineLvl w:val="0"/>
      </w:pPr>
      <w:r/>
      <w:bookmarkStart w:id="222" w:name="_Toc7924"/>
      <w:r/>
      <w:bookmarkStart w:id="223" w:name="_Toc351203634"/>
      <w:r>
        <w:rPr>
          <w:rFonts w:hint="eastAsia" w:ascii="宋体" w:hAnsi="宋体" w:eastAsia="宋体" w:cs="宋体"/>
          <w:color w:val="auto"/>
          <w:sz w:val="21"/>
          <w:szCs w:val="21"/>
          <w:highlight w:val="none"/>
        </w:rPr>
        <w:t xml:space="preserve">1.11 知识产权</w:t>
      </w:r>
      <w:bookmarkEnd w:id="22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rPr>
        <w:t xml:space="preserve">   归发包人所有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lang w:val="en-US" w:eastAsia="zh-CN"/>
        </w:rPr>
        <w:t xml:space="preserve"> 归发包人所有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不予调整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lang w:val="en-US" w:eastAsia="zh-CN"/>
        </w:rPr>
        <w:t xml:space="preserve">  不予调整 </w:t>
      </w:r>
      <w:r>
        <w:rPr>
          <w:rFonts w:hint="eastAsia" w:ascii="宋体" w:hAnsi="宋体" w:eastAsia="宋体" w:cs="宋体"/>
          <w:color w:val="auto"/>
          <w:sz w:val="21"/>
          <w:szCs w:val="21"/>
          <w:highlight w:val="none"/>
          <w:u w:val="single"/>
        </w:rPr>
        <w:t xml:space="preserve">。</w:t>
      </w:r>
      <w:r/>
    </w:p>
    <w:p>
      <w:pPr>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2</w:t>
      </w:r>
      <w:bookmarkStart w:id="224" w:name="_Toc297048343"/>
      <w:r/>
      <w:bookmarkStart w:id="225" w:name="_Toc296346658"/>
      <w:r/>
      <w:bookmarkStart w:id="226" w:name="_Toc297120457"/>
      <w:r/>
      <w:bookmarkStart w:id="227" w:name="_Toc296347156"/>
      <w:r/>
      <w:bookmarkStart w:id="228" w:name="_Toc296890985"/>
      <w:r/>
      <w:bookmarkStart w:id="229" w:name="_Toc296944496"/>
      <w:r/>
      <w:bookmarkStart w:id="230" w:name="_Toc292559867"/>
      <w:r/>
      <w:bookmarkStart w:id="231" w:name="_Toc296891197"/>
      <w:r/>
      <w:bookmarkStart w:id="232" w:name="_Toc296503157"/>
      <w:r/>
      <w:bookmarkStart w:id="233" w:name="_Toc292559362"/>
      <w:r>
        <w:rPr>
          <w:rFonts w:hint="eastAsia" w:ascii="宋体" w:hAnsi="宋体" w:eastAsia="宋体" w:cs="宋体"/>
          <w:color w:val="auto"/>
          <w:sz w:val="21"/>
          <w:szCs w:val="28"/>
          <w:highlight w:val="none"/>
        </w:rPr>
        <w:t xml:space="preserve">. 发包人</w:t>
      </w:r>
      <w:bookmarkEnd w:id="223"/>
      <w:r/>
      <w:bookmarkEnd w:id="224"/>
      <w:r/>
      <w:bookmarkEnd w:id="225"/>
      <w:r/>
      <w:bookmarkEnd w:id="226"/>
      <w:r/>
      <w:bookmarkEnd w:id="227"/>
      <w:r/>
      <w:bookmarkEnd w:id="228"/>
      <w:r/>
      <w:bookmarkEnd w:id="229"/>
      <w:r/>
      <w:bookmarkEnd w:id="230"/>
      <w:r/>
      <w:bookmarkEnd w:id="231"/>
      <w:r/>
      <w:bookmarkEnd w:id="232"/>
      <w:r/>
      <w:bookmarkEnd w:id="23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协调施工现场各方面的关系，协调工程质量，进度和安全文明施工中存在的问题等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color w:val="auto"/>
          <w:sz w:val="21"/>
          <w:szCs w:val="21"/>
          <w:highlight w:val="none"/>
          <w:u w:val="single"/>
        </w:rPr>
        <w:t xml:space="preserve">施工场地满足开工条件</w:t>
      </w:r>
      <w:r>
        <w:rPr>
          <w:rFonts w:hint="eastAsia" w:ascii="宋体" w:hAnsi="宋体" w:eastAsia="宋体" w:cs="宋体"/>
          <w:b/>
          <w:color w:val="auto"/>
          <w:sz w:val="21"/>
          <w:szCs w:val="21"/>
          <w:highlight w:val="none"/>
          <w:u w:val="single"/>
          <w:lang w:eastAsia="zh-CN"/>
        </w:rPr>
        <w:t xml:space="preserve">（开工前</w:t>
      </w:r>
      <w:r>
        <w:rPr>
          <w:rFonts w:hint="eastAsia" w:ascii="宋体" w:hAnsi="宋体" w:eastAsia="宋体" w:cs="宋体"/>
          <w:b/>
          <w:color w:val="auto"/>
          <w:sz w:val="21"/>
          <w:szCs w:val="21"/>
          <w:highlight w:val="none"/>
          <w:u w:val="single"/>
          <w:lang w:val="en-US" w:eastAsia="zh-CN"/>
        </w:rPr>
        <w:t xml:space="preserve">2天</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w:t>
      </w:r>
      <w:r>
        <w:rPr>
          <w:rFonts w:hint="eastAsia" w:ascii="宋体" w:hAnsi="宋体" w:eastAsia="宋体" w:cs="宋体"/>
          <w:b/>
          <w:color w:val="auto"/>
          <w:sz w:val="21"/>
          <w:szCs w:val="21"/>
          <w:highlight w:val="none"/>
          <w:u w:val="single"/>
        </w:rPr>
        <w:t xml:space="preserve">现场施工场地已具备施工条件，承包人若另行安排施工场地，由承包人自行协调，费用自理。</w:t>
      </w:r>
      <w:r/>
    </w:p>
    <w:p>
      <w:pPr>
        <w:numPr>
          <w:ilvl w:val="0"/>
          <w:numId w:val="2"/>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施工场地清洁卫生的要求：</w:t>
      </w:r>
      <w:r>
        <w:rPr>
          <w:rFonts w:hint="eastAsia" w:ascii="宋体" w:hAnsi="宋体" w:eastAsia="宋体" w:cs="宋体"/>
          <w:b/>
          <w:color w:val="auto"/>
          <w:sz w:val="21"/>
          <w:szCs w:val="21"/>
          <w:highlight w:val="none"/>
          <w:u w:val="single"/>
        </w:rPr>
        <w:t xml:space="preserve">文明施工，工完场清</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color w:val="auto"/>
          <w:sz w:val="21"/>
          <w:szCs w:val="21"/>
          <w:highlight w:val="none"/>
          <w:u w:val="single"/>
        </w:rPr>
        <w:t xml:space="preserve">符合甲方要求的竣工资料。</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承包人需要提交的竣工资料套数：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陆</w:t>
      </w:r>
      <w:r>
        <w:rPr>
          <w:rFonts w:hint="eastAsia" w:ascii="宋体" w:hAnsi="宋体" w:eastAsia="宋体" w:cs="宋体"/>
          <w:b/>
          <w:color w:val="auto"/>
          <w:sz w:val="21"/>
          <w:szCs w:val="21"/>
          <w:highlight w:val="none"/>
          <w:u w:val="single"/>
        </w:rPr>
        <w:t xml:space="preserve">套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竣工验收合格后</w:t>
      </w:r>
      <w:r>
        <w:rPr>
          <w:rFonts w:hint="eastAsia" w:ascii="宋体" w:hAnsi="宋体" w:eastAsia="宋体" w:cs="宋体"/>
          <w:color w:val="auto"/>
          <w:sz w:val="21"/>
          <w:szCs w:val="21"/>
          <w:highlight w:val="none"/>
          <w:u w:val="single"/>
          <w:lang w:val="en-US" w:eastAsia="zh-CN"/>
        </w:rPr>
        <w:t xml:space="preserve">7日内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lang w:val="en-US" w:eastAsia="zh-CN"/>
        </w:rPr>
        <w:t xml:space="preserve">  书面材料及电子版 </w:t>
      </w:r>
      <w:r>
        <w:rPr>
          <w:rFonts w:hint="eastAsia" w:ascii="宋体" w:hAnsi="宋体" w:eastAsia="宋体" w:cs="宋体"/>
          <w:color w:val="auto"/>
          <w:sz w:val="21"/>
          <w:szCs w:val="21"/>
          <w:highlight w:val="none"/>
        </w:rPr>
        <w:t xml:space="preserve">。</w:t>
      </w:r>
      <w:r/>
    </w:p>
    <w:p>
      <w:pPr>
        <w:numPr>
          <w:ilvl w:val="0"/>
          <w:numId w:val="3"/>
        </w:num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承包人有义务配合发包人进行审计工作，并按发包人的要求及时提供完整的审计资料，若因承包人未按要求及时提供相关审计资料，造成的影响审计进度及工程款支付进度等相关责任由承包人承担。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项目经理负责本工程全部的施工。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本工程要求项目经理本人必须常驻现场（每周不少于5日，每日不少于8小时）。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本工程要求项目经理本人必须常驻现场（每周不少于5日，每日不少于8小时），如项目经理擅自离场，每次按5000元扣罚；若每月缺勤累计超过7天，发包人有权要求承包人于7天之内更换项目经理，并且承包人应按每一人次</w:t>
      </w:r>
      <w:r>
        <w:rPr>
          <w:rFonts w:hint="eastAsia" w:ascii="宋体" w:hAnsi="宋体" w:eastAsia="宋体" w:cs="宋体"/>
          <w:color w:val="auto"/>
          <w:sz w:val="21"/>
          <w:szCs w:val="21"/>
          <w:highlight w:val="none"/>
          <w:u w:val="single"/>
          <w:lang w:eastAsia="zh-CN"/>
        </w:rPr>
        <w:t xml:space="preserve">1</w:t>
      </w:r>
      <w:r>
        <w:rPr>
          <w:rFonts w:hint="eastAsia" w:ascii="宋体" w:hAnsi="宋体" w:eastAsia="宋体" w:cs="宋体"/>
          <w:color w:val="auto"/>
          <w:sz w:val="21"/>
          <w:szCs w:val="21"/>
          <w:highlight w:val="none"/>
          <w:u w:val="single"/>
        </w:rPr>
        <w:t xml:space="preserve">0000元向发包人支付违约金，且承包人新选任的项目经理仍须符合发包人的上述要求并经发包人</w:t>
      </w:r>
      <w:r>
        <w:rPr>
          <w:rFonts w:hint="eastAsia" w:ascii="宋体" w:hAnsi="宋体" w:eastAsia="宋体" w:cs="宋体"/>
          <w:color w:val="auto"/>
          <w:sz w:val="21"/>
          <w:szCs w:val="21"/>
          <w:highlight w:val="none"/>
          <w:u w:val="single"/>
          <w:lang w:val="en-US" w:eastAsia="zh-CN"/>
        </w:rPr>
        <w:t xml:space="preserve">书面</w:t>
      </w:r>
      <w:r>
        <w:rPr>
          <w:rFonts w:hint="eastAsia" w:ascii="宋体" w:hAnsi="宋体" w:eastAsia="宋体" w:cs="宋体"/>
          <w:color w:val="auto"/>
          <w:sz w:val="21"/>
          <w:szCs w:val="21"/>
          <w:highlight w:val="none"/>
          <w:u w:val="single"/>
        </w:rPr>
        <w:t xml:space="preserve">确认同意；若承包人在 7 天之内未予更换的，则每逾期一天，承包人应向发包人支付违约金人民币5000元。上述违约金，发包人有权从工程款中予以直接扣除。</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lang w:eastAsia="zh-CN"/>
        </w:rPr>
        <w:t xml:space="preserve">中标</w:t>
      </w:r>
      <w:r>
        <w:rPr>
          <w:rFonts w:hint="eastAsia" w:ascii="宋体" w:hAnsi="宋体" w:eastAsia="宋体" w:cs="宋体"/>
          <w:color w:val="auto"/>
          <w:sz w:val="21"/>
          <w:szCs w:val="21"/>
          <w:highlight w:val="none"/>
          <w:u w:val="single"/>
        </w:rPr>
        <w:t xml:space="preserve">项目经理，在本合同履行期间，未经发包人书面同意不得擅自变更，否则发包人有权解除合同并要求承包人承担合同总价10%的违约金，同时一并追究由此给发包人造成的一切损失。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万元。</w:t>
      </w:r>
      <w:r>
        <w:rPr>
          <w:rFonts w:hint="eastAsia" w:ascii="宋体" w:hAnsi="宋体" w:eastAsia="宋体" w:cs="宋体"/>
          <w:color w:val="auto"/>
          <w:sz w:val="21"/>
          <w:szCs w:val="21"/>
          <w:highlight w:val="none"/>
          <w:u w:val="single"/>
          <w:lang w:eastAsia="zh-CN"/>
        </w:rPr>
        <w:t xml:space="preserve">承包人拒绝更换</w:t>
      </w:r>
      <w:r>
        <w:rPr>
          <w:rFonts w:hint="eastAsia" w:ascii="宋体" w:hAnsi="宋体" w:eastAsia="宋体" w:cs="宋体"/>
          <w:color w:val="auto"/>
          <w:sz w:val="21"/>
          <w:szCs w:val="21"/>
          <w:highlight w:val="none"/>
          <w:u w:val="single"/>
        </w:rPr>
        <w:t xml:space="preserve">项目经理</w:t>
      </w:r>
      <w:r>
        <w:rPr>
          <w:rFonts w:hint="eastAsia" w:ascii="宋体" w:hAnsi="宋体" w:eastAsia="宋体" w:cs="宋体"/>
          <w:color w:val="auto"/>
          <w:sz w:val="21"/>
          <w:szCs w:val="21"/>
          <w:highlight w:val="none"/>
          <w:u w:val="single"/>
          <w:lang w:eastAsia="zh-CN"/>
        </w:rPr>
        <w:t xml:space="preserve">且</w:t>
      </w:r>
      <w:r>
        <w:rPr>
          <w:rFonts w:hint="eastAsia" w:ascii="宋体" w:hAnsi="宋体" w:eastAsia="宋体" w:cs="宋体"/>
          <w:color w:val="auto"/>
          <w:sz w:val="21"/>
          <w:szCs w:val="21"/>
          <w:highlight w:val="none"/>
          <w:u w:val="single"/>
        </w:rPr>
        <w:t xml:space="preserve">被发包人驱逐达三次，发包人有权与承包人解除合同，承包人赔偿发包人因此所造成的全部损失并支付发包人合同总价</w:t>
      </w:r>
      <w:r>
        <w:rPr>
          <w:rFonts w:hint="eastAsia" w:ascii="宋体" w:hAnsi="宋体" w:eastAsia="宋体" w:cs="宋体"/>
          <w:color w:val="auto"/>
          <w:sz w:val="21"/>
          <w:szCs w:val="21"/>
          <w:highlight w:val="none"/>
          <w:u w:val="single"/>
          <w:lang w:eastAsia="zh-CN"/>
        </w:rPr>
        <w:t xml:space="preserve">10%</w:t>
      </w:r>
      <w:r>
        <w:rPr>
          <w:rFonts w:hint="eastAsia" w:ascii="宋体" w:hAnsi="宋体" w:eastAsia="宋体" w:cs="宋体"/>
          <w:color w:val="auto"/>
          <w:sz w:val="21"/>
          <w:szCs w:val="21"/>
          <w:highlight w:val="none"/>
          <w:u w:val="single"/>
        </w:rPr>
        <w:t xml:space="preserve">的违约金。项目部其他人员因上述原因被驱逐或调职调岗者，承包人每一人次支付发包人人民币2000元违约金。上述违约金，发包人有权从工程款中予以直接扣除。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开工前2天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color w:val="auto"/>
          <w:sz w:val="21"/>
          <w:szCs w:val="21"/>
          <w:highlight w:val="none"/>
          <w:u w:val="single"/>
        </w:rPr>
        <w:t xml:space="preserve">发包人认可后方可离开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lang w:val="en-US" w:eastAsia="zh-CN"/>
        </w:rPr>
        <w:t xml:space="preserve"> 按通用条款执行 </w:t>
      </w:r>
      <w:r>
        <w:rPr>
          <w:rFonts w:hint="eastAsia" w:ascii="宋体" w:hAnsi="宋体" w:eastAsia="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承包人主要施工管理人员擅自离开施工现场的违约责任：</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本工程不可分包。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rPr>
        <w:t xml:space="preserve"> 开工起至整个工程验收合格交付发包人后 </w:t>
      </w:r>
      <w:r>
        <w:rPr>
          <w:rFonts w:hint="eastAsia" w:ascii="宋体" w:hAnsi="宋体" w:eastAsia="宋体" w:cs="宋体"/>
          <w:color w:val="auto"/>
          <w:sz w:val="21"/>
          <w:szCs w:val="21"/>
          <w:highlight w:val="none"/>
        </w:rPr>
        <w:t xml:space="preserve">。</w:t>
      </w:r>
      <w:r/>
    </w:p>
    <w:p>
      <w:pPr>
        <w:ind w:firstLine="420"/>
        <w:jc w:val="left"/>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bookmarkStart w:id="234" w:name="_Toc296890991"/>
      <w:r/>
      <w:bookmarkStart w:id="235" w:name="_Toc292559872"/>
      <w:r/>
      <w:bookmarkStart w:id="236" w:name="_Toc296346664"/>
      <w:r/>
      <w:bookmarkStart w:id="237" w:name="_Toc292559367"/>
      <w:r/>
      <w:bookmarkStart w:id="238" w:name="_Toc296891203"/>
      <w:r/>
      <w:bookmarkStart w:id="239" w:name="_Toc297048349"/>
      <w:r/>
      <w:bookmarkStart w:id="240" w:name="_Toc296503163"/>
      <w:r/>
      <w:bookmarkStart w:id="241" w:name="_Toc296347162"/>
      <w:r/>
      <w:bookmarkStart w:id="242" w:name="_Toc296944502"/>
      <w:r/>
      <w:bookmarkStart w:id="243" w:name="_Toc297120463"/>
      <w:r>
        <w:rPr>
          <w:rFonts w:hint="eastAsia" w:ascii="宋体" w:hAnsi="宋体" w:eastAsia="宋体" w:cs="宋体"/>
          <w:color w:val="auto"/>
          <w:sz w:val="21"/>
          <w:szCs w:val="21"/>
          <w:highlight w:val="none"/>
        </w:rPr>
        <w:t xml:space="preserve">：</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履约担保的形式： 现金（转账、电汇）或银行保函  </w:t>
      </w:r>
      <w:r/>
    </w:p>
    <w:p>
      <w:pPr>
        <w:ind w:firstLine="420"/>
        <w:jc w:val="left"/>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履约担保的金额： </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价的10%；履约保函到期后仍在施工，应继续提供有效的履约担保，否则建设单位有权从工程进度款中扣取相应的履约保证金，银行保函有效期至本工程竣工验收合格之日止，现金在工程经竣工验收合格后 28 天内无息退还。</w:t>
      </w:r>
      <w:r>
        <w:rPr>
          <w:rFonts w:hint="eastAsia" w:ascii="宋体" w:hAnsi="宋体" w:eastAsia="宋体" w:cs="Times New Roman"/>
          <w:color w:val="auto"/>
          <w:szCs w:val="21"/>
          <w:highlight w:val="none"/>
          <w:lang w:val="en-US" w:eastAsia="zh-CN"/>
        </w:rPr>
        <w:t xml:space="preserve">成交人</w:t>
      </w:r>
      <w:r>
        <w:rPr>
          <w:rFonts w:hint="eastAsia" w:ascii="宋体" w:hAnsi="宋体" w:eastAsia="宋体" w:cs="Times New Roman"/>
          <w:color w:val="auto"/>
          <w:szCs w:val="21"/>
          <w:highlight w:val="none"/>
        </w:rPr>
        <w:t xml:space="preserve">应在中标公告发布后次日（以首个工作日开始计算）起15日内且合同签订前向</w:t>
      </w:r>
      <w:r>
        <w:rPr>
          <w:rFonts w:hint="eastAsia" w:ascii="宋体" w:hAnsi="宋体" w:eastAsia="宋体" w:cs="Times New Roman"/>
          <w:color w:val="auto"/>
          <w:szCs w:val="21"/>
          <w:highlight w:val="none"/>
          <w:lang w:val="en-US" w:eastAsia="zh-CN"/>
        </w:rPr>
        <w:t xml:space="preserve">采购</w:t>
      </w:r>
      <w:r>
        <w:rPr>
          <w:rFonts w:hint="eastAsia" w:ascii="宋体" w:hAnsi="宋体" w:eastAsia="宋体" w:cs="Times New Roman"/>
          <w:color w:val="auto"/>
          <w:szCs w:val="21"/>
          <w:highlight w:val="none"/>
        </w:rPr>
        <w:t xml:space="preserve">人提交，如无法在中标公告发布之日（以首个工作日开始计算）起15日内如约提交，将视为</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人主动放弃其</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资格，取消其</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资格。</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b/>
          <w:bCs/>
          <w:color w:val="000000"/>
          <w:sz w:val="21"/>
          <w:szCs w:val="21"/>
          <w:highlight w:val="none"/>
          <w:u w:val="none"/>
          <w:lang w:val="en-US" w:eastAsia="zh-CN" w:bidi="ar-SA"/>
        </w:rPr>
        <w:t xml:space="preserve">注：</w:t>
      </w:r>
      <w:r>
        <w:rPr>
          <w:rFonts w:hint="default" w:ascii="宋体" w:hAnsi="宋体" w:eastAsia="宋体" w:cs="宋体"/>
          <w:b/>
          <w:bCs/>
          <w:color w:val="000000"/>
          <w:sz w:val="21"/>
          <w:szCs w:val="21"/>
          <w:highlight w:val="none"/>
          <w:u w:val="none"/>
          <w:lang w:val="en-US" w:eastAsia="zh-CN" w:bidi="ar-SA"/>
        </w:rPr>
        <w:t xml:space="preserve">承包人向发包人提供履约保证金后，发包人向承包人提供同等额度的工程款支付担保。</w:t>
      </w:r>
      <w:r/>
    </w:p>
    <w:p>
      <w:pPr>
        <w:pStyle w:val="815"/>
        <w:spacing w:before="120" w:after="120" w:line="360" w:lineRule="auto"/>
        <w:rPr>
          <w:rFonts w:hint="eastAsia" w:ascii="宋体" w:hAnsi="宋体" w:eastAsia="宋体" w:cs="宋体"/>
          <w:b w:val="0"/>
          <w:color w:val="auto"/>
          <w:sz w:val="21"/>
          <w:szCs w:val="21"/>
          <w:highlight w:val="none"/>
        </w:rPr>
      </w:pPr>
      <w:r/>
      <w:bookmarkStart w:id="244" w:name="_Toc351203636"/>
      <w:r>
        <w:rPr>
          <w:rFonts w:hint="eastAsia" w:ascii="宋体" w:hAnsi="宋体" w:eastAsia="宋体" w:cs="宋体"/>
          <w:b w:val="0"/>
          <w:color w:val="auto"/>
          <w:sz w:val="21"/>
          <w:szCs w:val="21"/>
          <w:highlight w:val="none"/>
        </w:rPr>
        <w:t xml:space="preserve">4</w:t>
      </w:r>
      <w:bookmarkStart w:id="245" w:name="_Toc292559366"/>
      <w:r/>
      <w:bookmarkStart w:id="246" w:name="_Toc296347161"/>
      <w:r/>
      <w:bookmarkStart w:id="247" w:name="_Toc292559871"/>
      <w:r/>
      <w:bookmarkStart w:id="248" w:name="_Toc267251413"/>
      <w:r/>
      <w:bookmarkStart w:id="249" w:name="_Toc296891202"/>
      <w:r/>
      <w:bookmarkStart w:id="250" w:name="_Toc296944501"/>
      <w:r/>
      <w:bookmarkStart w:id="251" w:name="_Toc296346663"/>
      <w:r/>
      <w:bookmarkStart w:id="252" w:name="_Toc296503162"/>
      <w:r/>
      <w:bookmarkStart w:id="253" w:name="_Toc297048348"/>
      <w:r/>
      <w:bookmarkStart w:id="254" w:name="_Toc297120462"/>
      <w:r/>
      <w:bookmarkStart w:id="255" w:name="_Toc296890990"/>
      <w:r>
        <w:rPr>
          <w:rFonts w:hint="eastAsia" w:ascii="宋体" w:hAnsi="宋体" w:eastAsia="宋体" w:cs="宋体"/>
          <w:b w:val="0"/>
          <w:color w:val="auto"/>
          <w:sz w:val="21"/>
          <w:szCs w:val="21"/>
          <w:highlight w:val="none"/>
        </w:rPr>
        <w:t xml:space="preserve">. 监</w:t>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eastAsia="宋体" w:cs="宋体"/>
          <w:b w:val="0"/>
          <w:color w:val="auto"/>
          <w:sz w:val="21"/>
          <w:szCs w:val="21"/>
          <w:highlight w:val="none"/>
        </w:rPr>
        <w:t xml:space="preserve">理人</w:t>
      </w:r>
      <w:bookmarkEnd w:id="244"/>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80"/>
        <w:pageBreakBefore w:val="0"/>
        <w:spacing w:line="360" w:lineRule="auto"/>
        <w:rPr>
          <w:rFonts w:hint="eastAsia" w:ascii="宋体" w:hAnsi="宋体" w:eastAsia="宋体"/>
          <w:color w:val="auto"/>
          <w:sz w:val="24"/>
          <w:szCs w:val="24"/>
        </w:rPr>
        <w:outlineLvl w:val="0"/>
      </w:pPr>
      <w:r>
        <w:rPr>
          <w:rFonts w:hint="eastAsia" w:ascii="宋体" w:hAnsi="宋体" w:eastAsia="宋体"/>
          <w:color w:val="auto"/>
          <w:sz w:val="24"/>
          <w:szCs w:val="24"/>
        </w:rPr>
        <w:t xml:space="preserve">5.1 质量要求</w:t>
      </w:r>
      <w:r/>
    </w:p>
    <w:p>
      <w:pPr>
        <w:ind w:firstLine="420"/>
        <w:spacing w:line="360" w:lineRule="auto"/>
        <w:rPr>
          <w:rFonts w:hint="eastAsia" w:ascii="宋体" w:hAnsi="宋体" w:eastAsia="宋体"/>
          <w:color w:val="auto"/>
          <w:sz w:val="24"/>
          <w:szCs w:val="24"/>
          <w:u w:val="single"/>
        </w:rPr>
      </w:pPr>
      <w:r>
        <w:rPr>
          <w:rFonts w:hint="eastAsia" w:ascii="宋体" w:hAnsi="宋体" w:eastAsia="宋体"/>
          <w:color w:val="auto"/>
          <w:sz w:val="24"/>
          <w:szCs w:val="24"/>
        </w:rPr>
        <w:t xml:space="preserve">5.1.1 特殊质量标准和要求：</w:t>
      </w:r>
      <w:r>
        <w:rPr>
          <w:rFonts w:hint="eastAsia" w:ascii="宋体" w:hAnsi="宋体" w:eastAsia="宋体"/>
          <w:color w:val="auto"/>
          <w:sz w:val="24"/>
          <w:szCs w:val="24"/>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rPr>
          <w:rFonts w:hint="eastAsia" w:ascii="宋体" w:hAnsi="宋体"/>
          <w:color w:val="auto"/>
          <w:sz w:val="24"/>
          <w:szCs w:val="24"/>
          <w:u w:val="single"/>
          <w:lang w:eastAsia="zh-CN"/>
        </w:rPr>
        <w:t xml:space="preserve">，</w:t>
      </w:r>
      <w:r>
        <w:rPr>
          <w:rFonts w:hint="eastAsia" w:ascii="宋体" w:hAnsi="宋体" w:eastAsia="宋体" w:cs="宋体"/>
          <w:b/>
          <w:color w:val="auto"/>
          <w:sz w:val="21"/>
          <w:szCs w:val="21"/>
          <w:highlight w:val="none"/>
          <w:u w:val="single"/>
        </w:rPr>
        <w:t xml:space="preserve">按合同价款的100%全额赔偿发包人损失。</w:t>
      </w:r>
      <w:r/>
    </w:p>
    <w:p>
      <w:pPr>
        <w:ind w:firstLine="420"/>
        <w:spacing w:line="360" w:lineRule="auto"/>
        <w:rPr>
          <w:rFonts w:hint="eastAsia" w:ascii="宋体" w:hAnsi="宋体" w:eastAsia="宋体" w:cs="宋体"/>
          <w:color w:val="auto"/>
          <w:sz w:val="21"/>
          <w:szCs w:val="21"/>
          <w:highlight w:val="none"/>
        </w:rPr>
      </w:pPr>
      <w:r/>
      <w:bookmarkStart w:id="256" w:name="_Toc303539106"/>
      <w:r/>
      <w:bookmarkStart w:id="257" w:name="_Toc297216155"/>
      <w:r/>
      <w:bookmarkStart w:id="258" w:name="_Toc312677997"/>
      <w:r/>
      <w:bookmarkStart w:id="259" w:name="_Toc318581164"/>
      <w:r/>
      <w:bookmarkStart w:id="260" w:name="_Toc300934949"/>
      <w:r/>
      <w:bookmarkStart w:id="261" w:name="_Toc297123496"/>
      <w:r/>
      <w:bookmarkStart w:id="262" w:name="_Toc304295527"/>
      <w:r>
        <w:rPr>
          <w:rFonts w:hint="eastAsia" w:ascii="宋体" w:hAnsi="宋体" w:eastAsia="宋体" w:cs="宋体"/>
          <w:color w:val="auto"/>
          <w:sz w:val="21"/>
          <w:szCs w:val="21"/>
          <w:highlight w:val="none"/>
        </w:rPr>
        <w:t xml:space="preserve">5.3 隐蔽工程检查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5.3.2承包人提前通知发包人隐蔽工程检查的期限的约定：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本工程无隐蔽工程</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Lines/>
        <w:keepNext/>
        <w:spacing w:line="360" w:lineRule="auto"/>
        <w:rPr>
          <w:rFonts w:hint="eastAsia" w:ascii="宋体" w:hAnsi="宋体" w:eastAsia="宋体" w:cs="宋体"/>
          <w:color w:val="auto"/>
          <w:sz w:val="21"/>
          <w:szCs w:val="28"/>
          <w:highlight w:val="none"/>
        </w:rPr>
        <w:outlineLvl w:val="3"/>
      </w:pPr>
      <w:r/>
      <w:bookmarkStart w:id="263" w:name="_Toc351203638"/>
      <w:r>
        <w:rPr>
          <w:rFonts w:hint="eastAsia" w:ascii="宋体" w:hAnsi="宋体" w:eastAsia="宋体" w:cs="宋体"/>
          <w:color w:val="auto"/>
          <w:sz w:val="21"/>
          <w:szCs w:val="28"/>
          <w:highlight w:val="none"/>
        </w:rPr>
        <w:t xml:space="preserve">6. 安全文明施工与环境保护</w:t>
      </w:r>
      <w:bookmarkEnd w:id="263"/>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bookmarkEnd w:id="234"/>
      <w:r/>
      <w:bookmarkEnd w:id="235"/>
      <w:r/>
      <w:bookmarkEnd w:id="236"/>
      <w:r/>
      <w:bookmarkEnd w:id="237"/>
      <w:r/>
      <w:bookmarkEnd w:id="238"/>
      <w:r/>
      <w:bookmarkEnd w:id="239"/>
      <w:r/>
      <w:bookmarkEnd w:id="240"/>
      <w:r/>
      <w:bookmarkEnd w:id="241"/>
      <w:r/>
      <w:bookmarkEnd w:id="242"/>
      <w:r/>
      <w:bookmarkEnd w:id="243"/>
      <w:r/>
      <w:bookmarkEnd w:id="256"/>
      <w:r/>
      <w:bookmarkEnd w:id="257"/>
      <w:r/>
      <w:bookmarkEnd w:id="258"/>
      <w:r/>
      <w:bookmarkEnd w:id="259"/>
      <w:r/>
      <w:bookmarkEnd w:id="260"/>
      <w:r/>
      <w:bookmarkEnd w:id="261"/>
      <w:r/>
      <w:bookmarkEnd w:id="262"/>
      <w:r/>
      <w:r/>
    </w:p>
    <w:p>
      <w:pPr>
        <w:ind w:firstLine="420"/>
        <w:spacing w:line="360" w:lineRule="auto"/>
        <w:rPr>
          <w:rFonts w:hint="eastAsia" w:ascii="宋体" w:hAnsi="宋体" w:eastAsia="宋体" w:cs="宋体"/>
          <w:color w:val="auto"/>
          <w:sz w:val="21"/>
          <w:szCs w:val="21"/>
          <w:highlight w:val="none"/>
        </w:rPr>
      </w:pPr>
      <w:r/>
      <w:bookmarkStart w:id="264" w:name="_Toc292559378"/>
      <w:r/>
      <w:bookmarkStart w:id="265" w:name="_Toc296503173"/>
      <w:r/>
      <w:bookmarkStart w:id="266" w:name="_Toc296891213"/>
      <w:r/>
      <w:bookmarkStart w:id="267" w:name="_Toc296891001"/>
      <w:r/>
      <w:bookmarkStart w:id="268" w:name="_Toc296347172"/>
      <w:r/>
      <w:bookmarkStart w:id="269" w:name="_Toc292559883"/>
      <w:r/>
      <w:bookmarkStart w:id="270" w:name="_Toc267251428"/>
      <w:r/>
      <w:bookmarkStart w:id="271" w:name="_Toc296346674"/>
      <w:r/>
      <w:bookmarkStart w:id="272" w:name="_Toc267251427"/>
      <w:r/>
      <w:bookmarkStart w:id="273" w:name="_Toc297120473"/>
      <w:r/>
      <w:bookmarkStart w:id="274" w:name="_Toc297048359"/>
      <w:r/>
      <w:bookmarkStart w:id="275" w:name="_Toc296944512"/>
      <w:r/>
      <w:bookmarkStart w:id="276" w:name="_Toc351203642"/>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要求达到</w:t>
      </w:r>
      <w:r>
        <w:rPr>
          <w:rFonts w:hint="eastAsia" w:ascii="宋体" w:hAnsi="宋体" w:eastAsia="宋体" w:cs="宋体"/>
          <w:b/>
          <w:color w:val="auto"/>
          <w:sz w:val="21"/>
          <w:szCs w:val="21"/>
          <w:highlight w:val="none"/>
          <w:u w:val="single"/>
          <w:lang w:val="en-US" w:eastAsia="zh-CN"/>
        </w:rPr>
        <w:t xml:space="preserve">最新</w:t>
      </w:r>
      <w:r>
        <w:rPr>
          <w:rFonts w:hint="eastAsia" w:ascii="宋体" w:hAnsi="宋体" w:eastAsia="宋体" w:cs="宋体"/>
          <w:b/>
          <w:color w:val="auto"/>
          <w:sz w:val="21"/>
          <w:szCs w:val="21"/>
          <w:highlight w:val="none"/>
          <w:u w:val="single"/>
        </w:rPr>
        <w:t xml:space="preserve">《建筑施工安全检查标准》</w:t>
      </w:r>
      <w:r>
        <w:rPr>
          <w:rFonts w:hint="eastAsia" w:ascii="宋体" w:hAnsi="宋体" w:eastAsia="宋体" w:cs="宋体"/>
          <w:b/>
          <w:color w:val="auto"/>
          <w:sz w:val="21"/>
          <w:szCs w:val="21"/>
          <w:highlight w:val="none"/>
          <w:u w:val="single"/>
          <w:lang w:eastAsia="zh-CN"/>
        </w:rPr>
        <w:t xml:space="preserve">（JGJ59-2011）</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color w:val="auto"/>
          <w:sz w:val="21"/>
          <w:szCs w:val="21"/>
          <w:highlight w:val="none"/>
          <w:u w:val="single"/>
        </w:rPr>
        <w:t xml:space="preserve">按《通用条款执行》</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color w:val="auto"/>
          <w:sz w:val="21"/>
          <w:szCs w:val="21"/>
          <w:highlight w:val="none"/>
          <w:u w:val="single"/>
        </w:rPr>
        <w:t xml:space="preserve">开工前提供施工场地治安管理计划</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15"/>
        <w:ind w:firstLine="420"/>
        <w:spacing w:before="120" w:after="120" w:line="360" w:lineRule="auto"/>
        <w:rPr>
          <w:rFonts w:ascii="Times New Roman" w:hAnsi="Times New Roman" w:eastAsia="黑体"/>
          <w:b w:val="0"/>
          <w:color w:val="auto"/>
          <w:sz w:val="32"/>
          <w:szCs w:val="32"/>
          <w:highlight w:val="none"/>
        </w:rPr>
      </w:pPr>
      <w:r/>
      <w:bookmarkStart w:id="277" w:name="_Toc351203639"/>
      <w:r>
        <w:rPr>
          <w:rFonts w:hint="eastAsia" w:ascii="宋体" w:hAnsi="宋体" w:eastAsia="宋体" w:cs="宋体"/>
          <w:b w:val="0"/>
          <w:color w:val="auto"/>
          <w:sz w:val="21"/>
          <w:szCs w:val="21"/>
          <w:highlight w:val="none"/>
        </w:rPr>
        <w:t xml:space="preserve">7. 工期和进度</w:t>
      </w:r>
      <w:bookmarkEnd w:id="277"/>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   合同签订后</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日内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    开工日期前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天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278" w:name="_Toc312677486"/>
      <w:r/>
      <w:bookmarkStart w:id="279" w:name="_Toc312678012"/>
      <w:r/>
      <w:bookmarkStart w:id="280" w:name="_Toc318581169"/>
      <w:r/>
      <w:bookmarkStart w:id="281" w:name="_Toc297123518"/>
      <w:r/>
      <w:bookmarkStart w:id="282" w:name="_Toc300934970"/>
      <w:r/>
      <w:bookmarkStart w:id="283" w:name="_Toc304295548"/>
      <w:r/>
      <w:bookmarkStart w:id="284" w:name="_Toc303539127"/>
      <w:r/>
      <w:bookmarkStart w:id="285" w:name="_Toc297216177"/>
      <w:r>
        <w:rPr>
          <w:rFonts w:hint="eastAsia" w:ascii="宋体" w:hAnsi="宋体" w:eastAsia="宋体" w:cs="宋体"/>
          <w:color w:val="auto"/>
          <w:sz w:val="21"/>
          <w:szCs w:val="21"/>
          <w:highlight w:val="none"/>
        </w:rPr>
        <w:t xml:space="preserve">.5.2 因承包人原因导致工期延误</w:t>
      </w:r>
      <w:bookmarkEnd w:id="278"/>
      <w:r/>
      <w:bookmarkEnd w:id="279"/>
      <w:r/>
      <w:bookmarkEnd w:id="280"/>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286" w:name="_Toc312677487"/>
      <w:r/>
      <w:bookmarkStart w:id="287" w:name="_Toc312678013"/>
      <w:r/>
      <w:bookmarkStart w:id="28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b/>
          <w:color w:val="auto"/>
          <w:sz w:val="21"/>
          <w:szCs w:val="21"/>
          <w:highlight w:val="none"/>
          <w:u w:val="single"/>
        </w:rPr>
        <w:t xml:space="preserve">工期延迟按1000元/天处罚承包人</w:t>
      </w:r>
      <w:r>
        <w:rPr>
          <w:rFonts w:hint="eastAsia" w:ascii="宋体" w:hAnsi="宋体" w:eastAsia="宋体" w:cs="宋体"/>
          <w:color w:val="auto"/>
          <w:sz w:val="21"/>
          <w:szCs w:val="21"/>
          <w:highlight w:val="none"/>
        </w:rPr>
        <w:t xml:space="preserve">。</w:t>
      </w:r>
      <w:bookmarkEnd w:id="281"/>
      <w:r/>
      <w:bookmarkEnd w:id="282"/>
      <w:r/>
      <w:bookmarkEnd w:id="283"/>
      <w:r/>
      <w:bookmarkEnd w:id="284"/>
      <w:r/>
      <w:bookmarkEnd w:id="285"/>
      <w:r/>
      <w:bookmarkEnd w:id="286"/>
      <w:r/>
      <w:bookmarkEnd w:id="287"/>
      <w:r/>
      <w:r/>
    </w:p>
    <w:p>
      <w:p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合同价款的</w:t>
      </w:r>
      <w:r>
        <w:rPr>
          <w:rFonts w:hint="eastAsia" w:ascii="宋体" w:hAnsi="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7.6 不利物质条件</w:t>
      </w:r>
      <w:r/>
    </w:p>
    <w:p>
      <w:pPr>
        <w:ind w:firstLine="420"/>
        <w:spacing w:line="360" w:lineRule="auto"/>
        <w:rPr>
          <w:rFonts w:hint="default" w:ascii="宋体" w:hAnsi="宋体" w:eastAsia="宋体" w:cs="宋体"/>
          <w:color w:val="auto"/>
          <w:sz w:val="21"/>
          <w:szCs w:val="21"/>
          <w:highlight w:val="none"/>
          <w:u w:val="none"/>
          <w:lang w:val="en-US" w:eastAsia="zh-CN"/>
        </w:rPr>
      </w:pPr>
      <w:r>
        <w:rPr>
          <w:rFonts w:hint="default" w:ascii="宋体" w:hAnsi="宋体" w:eastAsia="宋体" w:cs="宋体"/>
          <w:color w:val="auto"/>
          <w:sz w:val="21"/>
          <w:szCs w:val="21"/>
          <w:highlight w:val="none"/>
          <w:u w:val="none"/>
          <w:lang w:val="en-US" w:eastAsia="zh-CN"/>
        </w:rPr>
        <w:t xml:space="preserve">不利物质条件的其他情形和有关约定：</w:t>
      </w:r>
      <w:r>
        <w:rPr>
          <w:rFonts w:hint="default" w:ascii="宋体" w:hAnsi="宋体" w:eastAsia="宋体" w:cs="宋体"/>
          <w:color w:val="auto"/>
          <w:sz w:val="21"/>
          <w:szCs w:val="21"/>
          <w:highlight w:val="none"/>
          <w:u w:val="single"/>
          <w:lang w:val="en-US" w:eastAsia="zh-CN"/>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default" w:ascii="宋体" w:hAnsi="宋体" w:eastAsia="宋体" w:cs="宋体"/>
          <w:color w:val="auto"/>
          <w:sz w:val="21"/>
          <w:szCs w:val="21"/>
          <w:highlight w:val="none"/>
          <w:u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bookmarkStart w:id="289" w:name="_Toc351203553"/>
      <w:r>
        <w:rPr>
          <w:rFonts w:hint="eastAsia" w:ascii="宋体" w:hAnsi="宋体" w:eastAsia="宋体" w:cs="宋体"/>
          <w:color w:val="auto"/>
          <w:sz w:val="21"/>
          <w:szCs w:val="21"/>
          <w:highlight w:val="none"/>
        </w:rPr>
        <w:t xml:space="preserve">8.1发包人供应材料与工程设备</w:t>
      </w:r>
      <w:bookmarkEnd w:id="289"/>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按通用条款执行。</w:t>
      </w:r>
      <w:bookmarkEnd w:id="288"/>
      <w:r/>
      <w:r/>
    </w:p>
    <w:p>
      <w:pPr>
        <w:ind w:firstLine="422"/>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b/>
          <w:color w:val="auto"/>
          <w:sz w:val="21"/>
          <w:szCs w:val="21"/>
          <w:highlight w:val="none"/>
        </w:rPr>
        <w:t xml:space="preserve">1</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Start w:id="290" w:name="_Toc296944532"/>
      <w:r/>
      <w:bookmarkStart w:id="291" w:name="_Toc297120493"/>
      <w:r/>
      <w:bookmarkStart w:id="292" w:name="_Toc312677499"/>
      <w:r/>
      <w:bookmarkStart w:id="293" w:name="_Toc292559398"/>
      <w:r/>
      <w:bookmarkStart w:id="294" w:name="_Toc292559903"/>
      <w:r/>
      <w:bookmarkStart w:id="295" w:name="_Toc296347192"/>
      <w:r/>
      <w:bookmarkStart w:id="296" w:name="_Toc296503193"/>
      <w:r/>
      <w:bookmarkStart w:id="297" w:name="_Toc296891233"/>
      <w:r/>
      <w:bookmarkStart w:id="298" w:name="_Toc297123540"/>
      <w:r/>
      <w:bookmarkStart w:id="299" w:name="_Toc296346694"/>
      <w:r/>
      <w:bookmarkStart w:id="300" w:name="_Toc304295566"/>
      <w:r/>
      <w:bookmarkStart w:id="301" w:name="_Toc300934989"/>
      <w:r/>
      <w:bookmarkStart w:id="302" w:name="_Toc303539146"/>
      <w:r/>
      <w:bookmarkStart w:id="303" w:name="_Toc297048379"/>
      <w:r/>
      <w:bookmarkStart w:id="304" w:name="_Toc312678025"/>
      <w:r/>
      <w:bookmarkStart w:id="305" w:name="_Toc297216199"/>
      <w:r/>
      <w:bookmarkStart w:id="306" w:name="_Toc296891021"/>
      <w:r/>
      <w:bookmarkStart w:id="307" w:name="_Toc267251433"/>
      <w:r/>
      <w:bookmarkStart w:id="308" w:name="_Toc267251435"/>
      <w:r/>
      <w:bookmarkStart w:id="309" w:name="_Toc267251439"/>
      <w:r/>
      <w:bookmarkStart w:id="310" w:name="_Toc267251440"/>
      <w:r/>
      <w:bookmarkStart w:id="311" w:name="_Toc267251441"/>
      <w:r/>
      <w:bookmarkStart w:id="312" w:name="_Toc267251437"/>
      <w:r/>
      <w:bookmarkStart w:id="313" w:name="_Toc267251442"/>
      <w:r>
        <w:rPr>
          <w:rFonts w:hint="eastAsia" w:ascii="宋体" w:hAnsi="宋体" w:eastAsia="宋体" w:cs="宋体"/>
          <w:b/>
          <w:color w:val="auto"/>
          <w:sz w:val="21"/>
          <w:szCs w:val="21"/>
          <w:highlight w:val="none"/>
        </w:rPr>
        <w:t xml:space="preserve">0</w:t>
      </w:r>
      <w:r>
        <w:rPr>
          <w:rFonts w:hint="eastAsia" w:ascii="宋体" w:hAnsi="宋体" w:eastAsia="宋体" w:cs="宋体"/>
          <w:color w:val="auto"/>
          <w:sz w:val="21"/>
          <w:szCs w:val="21"/>
          <w:highlight w:val="none"/>
        </w:rPr>
        <w:t xml:space="preserve">. 变更</w:t>
      </w:r>
      <w:bookmarkEnd w:id="276"/>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10.2.1 变更估价原则</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关于变更估价的约定： </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承包人在工程变更确定后 14 天内，提出变更工程价款的报告，经采购人和监理工程师确认后调整合同价款，变更合同价款按下列方法进行：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（1）已标价工程量清单或投标书有相同项目的，按照相同项目单价认定；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（2）已标价工程量清单或投标书中无相同项目，但有类似项目的，参照类似项目的单价认定；</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（3）合同中没有适用或类似的综合单价，按以下方法确定综合单价：</w:t>
      </w:r>
      <w:r/>
    </w:p>
    <w:p>
      <w:pPr>
        <w:ind w:firstLine="63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由承包人按承包人报价浮动率【L=( 1-成交价/招标控制价）X100%】提出变更工程项目的单价，并应报发包人确认后调整；</w:t>
      </w:r>
      <w:r/>
    </w:p>
    <w:p>
      <w:pPr>
        <w:ind w:firstLine="480"/>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工程变更价款的调整：</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10.3承包人的合理化建议</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监理人审查承包人合理化建议的期限：收到承包人提交的合理化建议后7日内。</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发包人审批承包人合理化建议的期限：收到监理人报送的合理化建议后7日内。</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承包人提出的合理化建议降低了合同价格或者提高了工程经济效益的奖励的方法和金额为：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10.4暂估价</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暂估价材料和工程设备的明细详见：</w:t>
      </w:r>
      <w:r>
        <w:rPr>
          <w:rFonts w:hint="eastAsia" w:ascii="宋体" w:hAnsi="宋体" w:cs="宋体"/>
          <w:color w:val="auto"/>
          <w:highlight w:val="none"/>
          <w:u w:val="single"/>
        </w:rPr>
        <w:t xml:space="preserve">《暂估价一览表》</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u w:val="single"/>
        </w:rPr>
      </w:pPr>
      <w:r>
        <w:rPr>
          <w:rFonts w:hint="eastAsia" w:ascii="宋体" w:hAnsi="宋体" w:cs="宋体"/>
          <w:color w:val="auto"/>
          <w:highlight w:val="none"/>
        </w:rPr>
        <w:t xml:space="preserve">10.4.1 依法必须招标的暂估价项目：</w:t>
      </w:r>
      <w:r>
        <w:rPr>
          <w:rFonts w:hint="eastAsia" w:ascii="宋体" w:hAnsi="宋体" w:cs="宋体"/>
          <w:color w:val="auto"/>
          <w:highlight w:val="none"/>
          <w:u w:val="single"/>
        </w:rPr>
        <w:t xml:space="preserve">采用第2种方式</w:t>
      </w:r>
      <w:r>
        <w:rPr>
          <w:rFonts w:hint="eastAsia" w:ascii="宋体" w:hAnsi="宋体" w:cs="宋体"/>
          <w:color w:val="auto"/>
          <w:highlight w:val="none"/>
        </w:rPr>
        <w:t xml:space="preserve">。</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10.5 暂列金额</w:t>
      </w:r>
      <w:r/>
    </w:p>
    <w:p>
      <w:pPr>
        <w:ind w:firstLine="480"/>
        <w:keepLines w:val="0"/>
        <w:keepNext w:val="0"/>
        <w:pageBreakBefore w:val="0"/>
        <w:spacing w:line="440" w:lineRule="exact"/>
        <w:widowControl w:val="off"/>
        <w:rPr>
          <w:rFonts w:ascii="宋体" w:hAnsi="宋体" w:cs="宋体"/>
          <w:color w:val="auto"/>
          <w:highlight w:val="none"/>
        </w:rPr>
      </w:pPr>
      <w:r>
        <w:rPr>
          <w:rFonts w:hint="eastAsia" w:ascii="宋体" w:hAnsi="宋体" w:cs="宋体"/>
          <w:color w:val="auto"/>
          <w:highlight w:val="none"/>
        </w:rPr>
        <w:t xml:space="preserve">合同当事人关于暂列金额使用的约定：</w:t>
      </w:r>
      <w:r>
        <w:rPr>
          <w:rFonts w:hint="eastAsia" w:ascii="宋体" w:hAnsi="宋体" w:cs="宋体"/>
          <w:color w:val="auto"/>
          <w:highlight w:val="none"/>
          <w:u w:val="single"/>
        </w:rPr>
        <w:t xml:space="preserve">由发包人结合工程具体情况使用</w:t>
      </w:r>
      <w:r>
        <w:rPr>
          <w:rFonts w:hint="eastAsia" w:ascii="宋体" w:hAnsi="宋体" w:cs="宋体"/>
          <w:color w:val="auto"/>
          <w:highlight w:val="none"/>
        </w:rPr>
        <w:t xml:space="preserve">。</w:t>
      </w:r>
      <w:r/>
    </w:p>
    <w:p>
      <w:pPr>
        <w:ind w:firstLine="420"/>
        <w:keepLines/>
        <w:keepNext/>
        <w:spacing w:line="360" w:lineRule="auto"/>
        <w:rPr>
          <w:rFonts w:hint="eastAsia" w:ascii="宋体" w:hAnsi="宋体" w:eastAsia="宋体" w:cs="宋体"/>
          <w:color w:val="auto"/>
          <w:sz w:val="21"/>
          <w:szCs w:val="21"/>
          <w:highlight w:val="none"/>
        </w:rPr>
        <w:outlineLvl w:val="3"/>
      </w:pPr>
      <w:r>
        <w:rPr>
          <w:rFonts w:hint="eastAsia" w:ascii="宋体" w:hAnsi="宋体" w:eastAsia="宋体" w:cs="宋体"/>
          <w:color w:val="auto"/>
          <w:sz w:val="21"/>
          <w:szCs w:val="21"/>
          <w:highlight w:val="none"/>
        </w:rPr>
        <w:t xml:space="preserve">11. 价格调整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不调整 。</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材料差价（风险）：</w:t>
      </w:r>
      <w:r>
        <w:rPr>
          <w:rFonts w:hint="eastAsia" w:ascii="宋体" w:hAnsi="宋体" w:eastAsia="宋体" w:cs="宋体"/>
          <w:b/>
          <w:color w:val="auto"/>
          <w:sz w:val="21"/>
          <w:szCs w:val="21"/>
          <w:highlight w:val="none"/>
          <w:u w:val="single"/>
        </w:rPr>
        <w:t xml:space="preserve">不调整 </w:t>
      </w:r>
      <w:r>
        <w:rPr>
          <w:rFonts w:hint="eastAsia" w:ascii="宋体" w:hAnsi="宋体" w:eastAsia="宋体" w:cs="宋体"/>
          <w:b w:val="0"/>
          <w:bCs/>
          <w:color w:val="auto"/>
          <w:sz w:val="21"/>
          <w:szCs w:val="21"/>
          <w:highlight w:val="none"/>
          <w:u w:val="none"/>
        </w:rPr>
        <w:t xml:space="preserve">。</w:t>
      </w:r>
      <w:r/>
    </w:p>
    <w:p>
      <w:pPr>
        <w:ind w:firstLine="420"/>
        <w:spacing w:line="360" w:lineRule="auto"/>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t xml:space="preserve">11.2政策性调整</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val="0"/>
          <w:bCs/>
          <w:color w:val="auto"/>
          <w:sz w:val="21"/>
          <w:szCs w:val="21"/>
          <w:highlight w:val="none"/>
          <w:u w:val="none"/>
        </w:rPr>
        <w:t xml:space="preserve">政策性文件是否调整合同价格的约定：</w:t>
      </w:r>
      <w:r>
        <w:rPr>
          <w:rFonts w:hint="eastAsia" w:ascii="宋体" w:hAnsi="宋体" w:eastAsia="宋体" w:cs="宋体"/>
          <w:b/>
          <w:color w:val="auto"/>
          <w:sz w:val="21"/>
          <w:szCs w:val="21"/>
          <w:highlight w:val="none"/>
          <w:u w:val="single"/>
        </w:rPr>
        <w:t xml:space="preserve">不调整</w:t>
      </w:r>
      <w:r>
        <w:rPr>
          <w:rFonts w:hint="eastAsia" w:ascii="宋体" w:hAnsi="宋体" w:eastAsia="宋体" w:cs="宋体"/>
          <w:b w:val="0"/>
          <w:bCs/>
          <w:color w:val="auto"/>
          <w:sz w:val="21"/>
          <w:szCs w:val="21"/>
          <w:highlight w:val="none"/>
          <w:u w:val="none"/>
        </w:rPr>
        <w:t xml:space="preserve">。</w:t>
      </w:r>
      <w:bookmarkEnd w:id="307"/>
      <w:r/>
      <w:bookmarkEnd w:id="308"/>
      <w:r/>
      <w:bookmarkEnd w:id="309"/>
      <w:r/>
      <w:bookmarkEnd w:id="310"/>
      <w:r/>
      <w:bookmarkEnd w:id="311"/>
      <w:r/>
      <w:bookmarkEnd w:id="312"/>
      <w:r/>
      <w:r/>
    </w:p>
    <w:p>
      <w:pPr>
        <w:ind w:firstLine="420"/>
        <w:keepLines/>
        <w:keepNext/>
        <w:spacing w:line="360" w:lineRule="auto"/>
        <w:rPr>
          <w:rFonts w:hint="eastAsia" w:ascii="宋体" w:hAnsi="宋体" w:eastAsia="宋体" w:cs="宋体"/>
          <w:color w:val="auto"/>
          <w:sz w:val="21"/>
          <w:szCs w:val="28"/>
          <w:highlight w:val="none"/>
        </w:rPr>
        <w:outlineLvl w:val="3"/>
      </w:pPr>
      <w:r/>
      <w:bookmarkStart w:id="314" w:name="_Toc296891033"/>
      <w:r/>
      <w:bookmarkStart w:id="315" w:name="_Toc296503205"/>
      <w:r/>
      <w:bookmarkStart w:id="316" w:name="_Toc296346706"/>
      <w:r/>
      <w:bookmarkStart w:id="317" w:name="_Toc296347204"/>
      <w:r/>
      <w:bookmarkStart w:id="318" w:name="_Toc296944544"/>
      <w:r/>
      <w:bookmarkStart w:id="319" w:name="_Toc297048391"/>
      <w:r/>
      <w:bookmarkStart w:id="320" w:name="_Toc297120505"/>
      <w:r/>
      <w:bookmarkStart w:id="321" w:name="_Toc292559915"/>
      <w:r/>
      <w:bookmarkStart w:id="322" w:name="_Toc296891245"/>
      <w:r/>
      <w:bookmarkStart w:id="323" w:name="_Toc292559410"/>
      <w:r/>
      <w:bookmarkStart w:id="324" w:name="_Toc297123552"/>
      <w:r/>
      <w:bookmarkStart w:id="325" w:name="_Toc304295579"/>
      <w:r/>
      <w:bookmarkStart w:id="326" w:name="_Toc303539159"/>
      <w:r/>
      <w:bookmarkStart w:id="327" w:name="_Toc351203644"/>
      <w:r/>
      <w:bookmarkStart w:id="328" w:name="_Toc312678040"/>
      <w:r/>
      <w:bookmarkStart w:id="329" w:name="_Toc297216211"/>
      <w:r/>
      <w:bookmarkStart w:id="330" w:name="_Toc300935002"/>
      <w:r>
        <w:rPr>
          <w:rFonts w:hint="eastAsia" w:ascii="宋体" w:hAnsi="宋体" w:eastAsia="宋体" w:cs="宋体"/>
          <w:color w:val="auto"/>
          <w:sz w:val="21"/>
          <w:szCs w:val="28"/>
          <w:highlight w:val="none"/>
        </w:rPr>
        <w:t xml:space="preserve">12. </w:t>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eastAsia="宋体" w:cs="宋体"/>
          <w:color w:val="auto"/>
          <w:sz w:val="21"/>
          <w:szCs w:val="28"/>
          <w:highlight w:val="none"/>
        </w:rPr>
        <w:t xml:space="preserve">合同价格、计量与支付</w:t>
      </w:r>
      <w:bookmarkEnd w:id="324"/>
      <w:r/>
      <w:bookmarkEnd w:id="325"/>
      <w:r/>
      <w:bookmarkEnd w:id="326"/>
      <w:r/>
      <w:bookmarkEnd w:id="327"/>
      <w:r/>
      <w:bookmarkEnd w:id="328"/>
      <w:r/>
      <w:bookmarkEnd w:id="329"/>
      <w:r/>
      <w:bookmarkEnd w:id="330"/>
      <w:r/>
      <w:r/>
    </w:p>
    <w:p>
      <w:pPr>
        <w:ind w:firstLine="420"/>
        <w:spacing w:line="360" w:lineRule="auto"/>
        <w:rPr>
          <w:rFonts w:hint="eastAsia" w:ascii="宋体" w:hAnsi="宋体" w:eastAsia="宋体" w:cs="宋体"/>
          <w:sz w:val="21"/>
          <w:szCs w:val="21"/>
          <w:highlight w:val="none"/>
        </w:rPr>
      </w:pPr>
      <w:r/>
      <w:bookmarkStart w:id="331" w:name="_Toc267251461"/>
      <w:r/>
      <w:bookmarkStart w:id="332" w:name="_Toc292559916"/>
      <w:r/>
      <w:bookmarkStart w:id="333" w:name="_Toc292559411"/>
      <w:r/>
      <w:bookmarkStart w:id="334" w:name="_Toc296503206"/>
      <w:r/>
      <w:bookmarkStart w:id="335" w:name="_Toc297048392"/>
      <w:r/>
      <w:bookmarkStart w:id="336" w:name="_Toc296891246"/>
      <w:r/>
      <w:bookmarkStart w:id="337" w:name="_Toc297120506"/>
      <w:r/>
      <w:bookmarkStart w:id="338" w:name="_Toc296346707"/>
      <w:r/>
      <w:bookmarkStart w:id="339" w:name="_Toc296891034"/>
      <w:r/>
      <w:bookmarkStart w:id="340" w:name="_Toc296944545"/>
      <w:r/>
      <w:bookmarkStart w:id="341" w:name="_Toc296347205"/>
      <w:r/>
      <w:bookmarkStart w:id="342" w:name="_Toc300935003"/>
      <w:r/>
      <w:bookmarkStart w:id="343" w:name="_Toc297123553"/>
      <w:r/>
      <w:bookmarkStart w:id="344" w:name="_Toc303539160"/>
      <w:r/>
      <w:bookmarkStart w:id="345" w:name="_Toc312678041"/>
      <w:r/>
      <w:bookmarkStart w:id="346" w:name="_Toc297216212"/>
      <w:r/>
      <w:bookmarkStart w:id="347" w:name="_Toc304295580"/>
      <w:r/>
      <w:bookmarkStart w:id="348" w:name="_Toc296346708"/>
      <w:r/>
      <w:bookmarkStart w:id="349" w:name="_Toc296891035"/>
      <w:r/>
      <w:bookmarkStart w:id="350" w:name="_Toc292559917"/>
      <w:r/>
      <w:bookmarkStart w:id="351" w:name="_Toc304295581"/>
      <w:r/>
      <w:bookmarkStart w:id="352" w:name="_Toc297120507"/>
      <w:r/>
      <w:bookmarkStart w:id="353" w:name="_Toc303539161"/>
      <w:r/>
      <w:bookmarkStart w:id="354" w:name="_Toc297048393"/>
      <w:r/>
      <w:bookmarkStart w:id="355" w:name="_Toc300935004"/>
      <w:r/>
      <w:bookmarkStart w:id="356" w:name="_Toc297216213"/>
      <w:r/>
      <w:bookmarkStart w:id="357" w:name="_Toc296944546"/>
      <w:r/>
      <w:bookmarkStart w:id="358" w:name="_Toc296503207"/>
      <w:r/>
      <w:bookmarkStart w:id="359" w:name="_Toc297123554"/>
      <w:r/>
      <w:bookmarkStart w:id="360" w:name="_Toc296347206"/>
      <w:r/>
      <w:bookmarkStart w:id="361" w:name="_Toc312678042"/>
      <w:r/>
      <w:bookmarkStart w:id="362" w:name="_Toc292559412"/>
      <w:r/>
      <w:bookmarkStart w:id="363" w:name="_Toc296891247"/>
      <w:r>
        <w:rPr>
          <w:rFonts w:hint="eastAsia" w:ascii="宋体" w:hAnsi="宋体" w:eastAsia="宋体" w:cs="宋体"/>
          <w:sz w:val="21"/>
          <w:szCs w:val="21"/>
          <w:highlight w:val="none"/>
        </w:rPr>
        <w:t xml:space="preserve">12.1 合</w:t>
      </w:r>
      <w:bookmarkEnd w:id="331"/>
      <w:r/>
      <w:bookmarkEnd w:id="332"/>
      <w:r/>
      <w:bookmarkEnd w:id="333"/>
      <w:r>
        <w:rPr>
          <w:rFonts w:hint="eastAsia" w:ascii="宋体" w:hAnsi="宋体" w:eastAsia="宋体" w:cs="宋体"/>
          <w:sz w:val="21"/>
          <w:szCs w:val="21"/>
          <w:highlight w:val="none"/>
        </w:rPr>
        <w:t xml:space="preserve">同价</w:t>
      </w:r>
      <w:bookmarkEnd w:id="334"/>
      <w:r/>
      <w:bookmarkEnd w:id="335"/>
      <w:r/>
      <w:bookmarkEnd w:id="336"/>
      <w:r/>
      <w:bookmarkEnd w:id="337"/>
      <w:r/>
      <w:bookmarkEnd w:id="338"/>
      <w:r/>
      <w:bookmarkEnd w:id="339"/>
      <w:r/>
      <w:bookmarkEnd w:id="340"/>
      <w:r/>
      <w:bookmarkEnd w:id="341"/>
      <w:r>
        <w:rPr>
          <w:rFonts w:hint="eastAsia" w:ascii="宋体" w:hAnsi="宋体" w:eastAsia="宋体" w:cs="宋体"/>
          <w:sz w:val="21"/>
          <w:szCs w:val="21"/>
          <w:highlight w:val="none"/>
        </w:rPr>
        <w:t xml:space="preserve">格形式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采用</w:t>
      </w:r>
      <w:r>
        <w:rPr>
          <w:rFonts w:hint="eastAsia" w:ascii="宋体" w:hAnsi="宋体" w:eastAsia="宋体" w:cs="宋体"/>
          <w:b/>
          <w:sz w:val="21"/>
          <w:szCs w:val="21"/>
          <w:highlight w:val="none"/>
          <w:u w:val="single"/>
          <w:lang w:bidi="ar"/>
        </w:rPr>
        <w:t xml:space="preserve"> 固定单价 </w:t>
      </w:r>
      <w:r>
        <w:rPr>
          <w:rFonts w:hint="eastAsia" w:ascii="宋体" w:hAnsi="宋体" w:eastAsia="宋体" w:cs="宋体"/>
          <w:sz w:val="21"/>
          <w:szCs w:val="21"/>
          <w:highlight w:val="none"/>
          <w:lang w:bidi="ar"/>
        </w:rPr>
        <w:t xml:space="preserve">报价，固定单价为清单综合单价，投标人应根据招标文件要求及充分踏勘施工现场条件，在投标报价时应充分考虑施工期间各类人工、材料、机械的市场风险等计入单价报价，结算时综合单价不再调整。</w:t>
      </w:r>
      <w:bookmarkEnd w:id="342"/>
      <w:r/>
      <w:bookmarkEnd w:id="343"/>
      <w:r/>
      <w:bookmarkEnd w:id="344"/>
      <w:r/>
      <w:bookmarkEnd w:id="345"/>
      <w:r/>
      <w:bookmarkEnd w:id="346"/>
      <w:r/>
      <w:bookmarkEnd w:id="347"/>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p>
      <w:pPr>
        <w:ind w:firstLine="422"/>
        <w:spacing w:line="360" w:lineRule="auto"/>
        <w:rPr>
          <w:rFonts w:hint="eastAsia" w:ascii="宋体" w:hAnsi="宋体" w:eastAsia="宋体" w:cs="宋体"/>
          <w:b/>
          <w:bCs/>
          <w:sz w:val="21"/>
          <w:szCs w:val="21"/>
          <w:highlight w:val="none"/>
          <w:u w:val="single"/>
          <w:lang w:bidi="ar"/>
        </w:rPr>
      </w:pPr>
      <w:r>
        <w:rPr>
          <w:rFonts w:hint="eastAsia" w:ascii="宋体" w:hAnsi="宋体" w:eastAsia="宋体" w:cs="宋体"/>
          <w:b/>
          <w:bCs/>
          <w:sz w:val="21"/>
          <w:szCs w:val="21"/>
          <w:highlight w:val="none"/>
          <w:u w:val="single"/>
          <w:lang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w:t>
      </w:r>
      <w:r/>
    </w:p>
    <w:p>
      <w:pPr>
        <w:ind w:firstLine="422"/>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lang w:bidi="ar"/>
        </w:rPr>
        <w:t xml:space="preserve">发包人风险：国家法律、法规、规章和政策发生变化；</w:t>
      </w:r>
      <w:r/>
    </w:p>
    <w:p>
      <w:pPr>
        <w:ind w:firstLine="42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(2)超出约定风险范围时的综合单价调整办法：</w:t>
      </w:r>
      <w:r>
        <w:rPr>
          <w:rFonts w:hint="eastAsia" w:ascii="宋体" w:hAnsi="宋体" w:eastAsia="宋体" w:cs="宋体"/>
          <w:b/>
          <w:bCs/>
          <w:sz w:val="21"/>
          <w:szCs w:val="21"/>
          <w:highlight w:val="none"/>
          <w:u w:val="single"/>
        </w:rPr>
        <w:t xml:space="preserve">承包人投标时应自行充分考虑风险，除不可抗力及发包人风险外，今后不做调整。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预付款支付比例或金额：</w:t>
      </w:r>
      <w:r>
        <w:rPr>
          <w:rFonts w:hint="eastAsia" w:ascii="宋体" w:hAnsi="宋体"/>
          <w:b/>
          <w:bCs/>
          <w:sz w:val="21"/>
          <w:szCs w:val="21"/>
          <w:highlight w:val="none"/>
          <w:u w:val="single"/>
        </w:rPr>
        <w:t xml:space="preserve">合同价（扣除暂列金额及专业工程暂估价）的10%</w:t>
      </w:r>
      <w:r>
        <w:rPr>
          <w:rFonts w:hint="eastAsia" w:ascii="宋体" w:hAnsi="宋体"/>
          <w:b/>
          <w:bCs/>
          <w:sz w:val="21"/>
          <w:szCs w:val="21"/>
          <w:highlight w:val="none"/>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cs="宋体"/>
          <w:b/>
          <w:bCs/>
          <w:color w:val="auto"/>
          <w:sz w:val="21"/>
          <w:szCs w:val="21"/>
          <w:highlight w:val="none"/>
          <w:u w:val="single"/>
          <w:lang w:val="en-US" w:eastAsia="zh-CN"/>
        </w:rPr>
        <w:t xml:space="preserve">发包人收到承包人预付款担保后</w:t>
      </w:r>
      <w:r>
        <w:rPr>
          <w:rFonts w:hint="eastAsia" w:ascii="宋体" w:hAnsi="宋体"/>
          <w:b/>
          <w:bCs/>
          <w:sz w:val="21"/>
          <w:szCs w:val="21"/>
          <w:highlight w:val="none"/>
          <w:u w:val="single"/>
        </w:rPr>
        <w:t xml:space="preserve">7天</w:t>
      </w:r>
      <w:r>
        <w:rPr>
          <w:rFonts w:hint="eastAsia" w:ascii="宋体" w:hAnsi="宋体"/>
          <w:b/>
          <w:bCs/>
          <w:sz w:val="21"/>
          <w:szCs w:val="21"/>
          <w:highlight w:val="none"/>
          <w:u w:val="single"/>
          <w:lang w:val="en-US" w:eastAsia="zh-CN"/>
        </w:rPr>
        <w:t xml:space="preserve">内</w:t>
      </w:r>
      <w:r>
        <w:rPr>
          <w:rFonts w:hint="eastAsia" w:ascii="宋体" w:hAnsi="宋体"/>
          <w:b/>
          <w:bCs/>
          <w:sz w:val="21"/>
          <w:szCs w:val="21"/>
          <w:highlight w:val="none"/>
          <w:u w:val="single"/>
        </w:rPr>
        <w:t xml:space="preserve">支付。</w:t>
      </w:r>
      <w:r/>
    </w:p>
    <w:p>
      <w:pPr>
        <w:ind w:firstLine="420"/>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sz w:val="21"/>
          <w:szCs w:val="21"/>
          <w:highlight w:val="none"/>
          <w:u w:val="single"/>
        </w:rPr>
        <w:t xml:space="preserve">第一次支付工程款时全部扣回</w:t>
      </w:r>
      <w:r>
        <w:rPr>
          <w:rFonts w:hint="eastAsia" w:ascii="宋体" w:hAnsi="宋体"/>
          <w:sz w:val="21"/>
          <w:szCs w:val="21"/>
          <w:highlight w:val="none"/>
        </w:rPr>
        <w:t xml:space="preserve">。</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20"/>
        <w:jc w:val="left"/>
        <w:spacing w:line="360" w:lineRule="auto"/>
        <w:rPr>
          <w:rFonts w:ascii="宋体" w:hAnsi="宋体"/>
          <w:sz w:val="21"/>
          <w:szCs w:val="21"/>
          <w:highlight w:val="none"/>
        </w:rPr>
      </w:pPr>
      <w:r>
        <w:rPr>
          <w:rFonts w:hint="eastAsia" w:ascii="宋体" w:hAnsi="宋体"/>
          <w:sz w:val="21"/>
          <w:szCs w:val="21"/>
          <w:highlight w:val="none"/>
        </w:rPr>
        <w:t xml:space="preserve">12.2.2 预付款担保</w:t>
      </w:r>
      <w:r/>
    </w:p>
    <w:p>
      <w:pPr>
        <w:ind w:firstLine="420"/>
        <w:jc w:val="left"/>
        <w:spacing w:line="360" w:lineRule="auto"/>
        <w:rPr>
          <w:rFonts w:ascii="宋体" w:hAnsi="宋体"/>
          <w:sz w:val="21"/>
          <w:szCs w:val="21"/>
          <w:highlight w:val="none"/>
        </w:rPr>
      </w:pPr>
      <w:r>
        <w:rPr>
          <w:rFonts w:hint="eastAsia" w:ascii="宋体" w:hAnsi="宋体"/>
          <w:sz w:val="21"/>
          <w:szCs w:val="21"/>
          <w:highlight w:val="none"/>
        </w:rPr>
        <w:t xml:space="preserve">承包人提交预付款担保的期限：</w:t>
      </w:r>
      <w:r>
        <w:rPr>
          <w:rFonts w:hint="eastAsia" w:ascii="宋体" w:hAnsi="宋体"/>
          <w:sz w:val="21"/>
          <w:szCs w:val="21"/>
          <w:highlight w:val="none"/>
          <w:u w:val="single"/>
        </w:rPr>
        <w:t xml:space="preserve"> 执行通用条款  </w:t>
      </w:r>
      <w:r>
        <w:rPr>
          <w:rFonts w:hint="eastAsia" w:ascii="宋体" w:hAnsi="宋体"/>
          <w:sz w:val="21"/>
          <w:szCs w:val="21"/>
          <w:highlight w:val="none"/>
        </w:rPr>
        <w:t xml:space="preserve">。</w:t>
      </w:r>
      <w:r/>
    </w:p>
    <w:p>
      <w:pPr>
        <w:ind w:firstLine="420"/>
        <w:jc w:val="left"/>
        <w:spacing w:line="360" w:lineRule="auto"/>
        <w:rPr>
          <w:rFonts w:ascii="宋体" w:hAnsi="宋体"/>
          <w:sz w:val="21"/>
          <w:szCs w:val="21"/>
          <w:highlight w:val="none"/>
        </w:rPr>
      </w:pPr>
      <w:r>
        <w:rPr>
          <w:rFonts w:hint="eastAsia" w:ascii="宋体" w:hAnsi="宋体"/>
          <w:sz w:val="21"/>
          <w:szCs w:val="21"/>
          <w:highlight w:val="none"/>
        </w:rPr>
        <w:t xml:space="preserve">预付款担保的形式为：</w:t>
      </w:r>
      <w:r>
        <w:rPr>
          <w:rFonts w:hint="eastAsia" w:ascii="宋体" w:hAnsi="宋体"/>
          <w:sz w:val="21"/>
          <w:szCs w:val="21"/>
          <w:highlight w:val="none"/>
          <w:u w:val="single"/>
        </w:rPr>
        <w:t xml:space="preserve"> 见索即付保函 </w:t>
      </w:r>
      <w:r>
        <w:rPr>
          <w:rFonts w:hint="eastAsia" w:ascii="宋体" w:hAnsi="宋体"/>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spacing w:line="360" w:lineRule="auto"/>
        <w:rPr>
          <w:rFonts w:hint="eastAsia" w:ascii="宋体" w:hAnsi="宋体" w:eastAsia="宋体" w:cs="宋体"/>
          <w:color w:val="auto"/>
          <w:sz w:val="21"/>
          <w:szCs w:val="21"/>
          <w:highlight w:val="none"/>
        </w:rPr>
      </w:pPr>
      <w:r/>
      <w:bookmarkStart w:id="364" w:name="_Toc296346712"/>
      <w:r/>
      <w:bookmarkStart w:id="365" w:name="_Toc297123556"/>
      <w:r/>
      <w:bookmarkStart w:id="366" w:name="_Toc292559921"/>
      <w:r/>
      <w:bookmarkStart w:id="367" w:name="_Toc297120511"/>
      <w:r/>
      <w:bookmarkStart w:id="368" w:name="_Toc296347210"/>
      <w:r/>
      <w:bookmarkStart w:id="369" w:name="_Toc296503211"/>
      <w:r/>
      <w:bookmarkStart w:id="370" w:name="_Toc303539163"/>
      <w:r/>
      <w:bookmarkStart w:id="371" w:name="_Toc292559416"/>
      <w:r/>
      <w:bookmarkStart w:id="372" w:name="_Toc296891039"/>
      <w:r/>
      <w:bookmarkStart w:id="373" w:name="_Toc296891251"/>
      <w:r/>
      <w:bookmarkStart w:id="374" w:name="_Toc297216215"/>
      <w:r/>
      <w:bookmarkStart w:id="375" w:name="_Toc297048397"/>
      <w:r/>
      <w:bookmarkStart w:id="376" w:name="_Toc296944550"/>
      <w:r/>
      <w:bookmarkStart w:id="377" w:name="_Toc300935006"/>
      <w:r>
        <w:rPr>
          <w:rFonts w:hint="eastAsia" w:ascii="宋体" w:hAnsi="宋体" w:eastAsia="宋体" w:cs="宋体"/>
          <w:color w:val="auto"/>
          <w:sz w:val="21"/>
          <w:szCs w:val="21"/>
          <w:highlight w:val="none"/>
        </w:rPr>
        <w:t xml:space="preserve">12.4.1 付款周期</w:t>
      </w:r>
      <w:r/>
    </w:p>
    <w:p>
      <w:pPr>
        <w:pStyle w:val="1093"/>
        <w:ind w:firstLine="422"/>
        <w:keepLines w:val="0"/>
        <w:keepNext w:val="0"/>
        <w:pageBreakBefore w:val="0"/>
        <w:spacing w:before="23" w:line="360"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工程完工并验收合格后付至已完合格工程量价款的80%,竣工结算审计完成后付至审定价的97%。留审定合同价款的3%作为质量保修金，待缺陷责任期(2年)后且无质量问题也无违约情况下付清余款。</w:t>
      </w:r>
      <w:r/>
    </w:p>
    <w:p>
      <w:pPr>
        <w:ind w:firstLine="422"/>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每次支付工程价款前，承包人须</w:t>
      </w:r>
      <w:r>
        <w:rPr>
          <w:rFonts w:hint="eastAsia" w:ascii="宋体" w:hAnsi="宋体" w:eastAsia="宋体" w:cs="宋体"/>
          <w:b/>
          <w:color w:val="auto"/>
          <w:sz w:val="21"/>
          <w:szCs w:val="21"/>
          <w:highlight w:val="none"/>
          <w:u w:val="single"/>
          <w:lang w:val="en-US" w:eastAsia="zh-CN"/>
        </w:rPr>
        <w:t xml:space="preserve">提前</w:t>
      </w:r>
      <w:r>
        <w:rPr>
          <w:rFonts w:hint="eastAsia" w:ascii="宋体" w:hAnsi="宋体" w:eastAsia="宋体" w:cs="宋体"/>
          <w:b/>
          <w:color w:val="auto"/>
          <w:sz w:val="21"/>
          <w:szCs w:val="21"/>
          <w:highlight w:val="none"/>
          <w:u w:val="single"/>
        </w:rPr>
        <w:t xml:space="preserve">提供满足发包人财务要求的等额增值税发票</w:t>
      </w:r>
      <w:r>
        <w:rPr>
          <w:rFonts w:hint="eastAsia" w:ascii="宋体" w:hAnsi="宋体" w:eastAsia="宋体" w:cs="宋体"/>
          <w:b/>
          <w:color w:val="auto"/>
          <w:sz w:val="21"/>
          <w:szCs w:val="21"/>
          <w:highlight w:val="none"/>
          <w:u w:val="single"/>
          <w:lang w:eastAsia="zh-CN"/>
        </w:rPr>
        <w:t xml:space="preserve">，</w:t>
      </w:r>
      <w:r>
        <w:rPr>
          <w:rFonts w:hint="eastAsia" w:ascii="宋体" w:hAnsi="宋体" w:eastAsia="宋体" w:cs="宋体"/>
          <w:b/>
          <w:color w:val="auto"/>
          <w:sz w:val="21"/>
          <w:szCs w:val="21"/>
          <w:highlight w:val="none"/>
          <w:u w:val="single"/>
        </w:rPr>
        <w:t xml:space="preserve">否则发包人有权延期付款且不承担违约责任。如果因为承包人开具的发票不合规而导致发包人无法税前扣除或遭受其他损失的，承包人应承担赔偿责任，且发包人有权要求承包人重新开具合法有效的增值税发票。</w:t>
      </w:r>
      <w:r/>
    </w:p>
    <w:p>
      <w:pPr>
        <w:ind w:firstLine="422"/>
        <w:keepLines w:val="0"/>
        <w:keepNext w:val="0"/>
        <w:pageBreakBefore w:val="0"/>
        <w:spacing w:line="360" w:lineRule="auto"/>
        <w:shd w:val="clear" w:color="auto" w:fill="ffffff"/>
        <w:widowControl/>
        <w:rPr>
          <w:rFonts w:hint="eastAsia" w:ascii="宋体" w:hAnsi="宋体" w:eastAsia="宋体" w:cs="宋体"/>
          <w:b/>
          <w:sz w:val="21"/>
          <w:szCs w:val="21"/>
          <w:highlight w:val="none"/>
          <w:u w:val="single"/>
          <w:lang w:eastAsia="zh-CN"/>
        </w:rPr>
      </w:pPr>
      <w:r>
        <w:rPr>
          <w:rFonts w:hint="eastAsia" w:ascii="宋体" w:hAnsi="宋体" w:eastAsia="宋体" w:cs="宋体"/>
          <w:b/>
          <w:sz w:val="21"/>
          <w:szCs w:val="21"/>
          <w:highlight w:val="none"/>
          <w:u w:val="single"/>
        </w:rPr>
        <w:t xml:space="preserve">为保证农民工工资按时发放，根据承包人每月3号前向发包人报送上月已完工程量及农民工工资表，发包人按照不超过已完工程量价款的25%支付上月农民工工资，由发包人每月直接支付到本项目农民工工资专用账户；承包人应保证已完工程量及农民工工资表的真实性</w:t>
      </w:r>
      <w:r>
        <w:rPr>
          <w:rFonts w:hint="eastAsia" w:ascii="宋体" w:hAnsi="宋体" w:eastAsia="宋体" w:cs="宋体"/>
          <w:b/>
          <w:sz w:val="21"/>
          <w:szCs w:val="21"/>
          <w:highlight w:val="none"/>
          <w:u w:val="single"/>
          <w:lang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12.4.2进度付款申请单的编制</w:t>
      </w:r>
      <w:r/>
    </w:p>
    <w:p>
      <w:pPr>
        <w:ind w:firstLine="420"/>
        <w:spacing w:line="360" w:lineRule="auto"/>
        <w:shd w:val="clear" w:color="auto" w:fill="ffffff"/>
        <w:widowControl/>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color w:val="auto"/>
          <w:sz w:val="21"/>
          <w:szCs w:val="21"/>
          <w:highlight w:val="none"/>
          <w:u w:val="single"/>
        </w:rPr>
        <w:t xml:space="preserve">工程进度款支付不含工程变更、签证、索赔费用。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12.4.3进度付款申请单的提交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12.4.4进度款审核和支付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(1)审计单位审查并报送发包人的期限：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收到承包人提交资料后7天内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strike/>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b/>
          <w:color w:val="auto"/>
          <w:sz w:val="21"/>
          <w:szCs w:val="21"/>
          <w:highlight w:val="none"/>
          <w:u w:val="single"/>
        </w:rPr>
        <w:t xml:space="preserve">按发包人规定的工作流程及要求执行；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验收和工程试车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小时提交书面延期要求。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小时。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发包人不按照本项约定组织竣工验收、颁发工程接收证书的违约金的计算方法：</w:t>
      </w:r>
      <w:r>
        <w:rPr>
          <w:rFonts w:hint="eastAsia" w:ascii="宋体" w:hAnsi="宋体" w:eastAsia="宋体" w:cs="宋体"/>
          <w:color w:val="auto"/>
          <w:sz w:val="21"/>
          <w:szCs w:val="21"/>
          <w:highlight w:val="none"/>
        </w:rPr>
        <w:t xml:space="preserve">  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按通用条款执行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 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lang w:val="en-US" w:eastAsia="zh-CN"/>
        </w:rPr>
        <w:t xml:space="preserve"> 每延迟一天，承包人按合同总价款的</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lang w:val="en-US" w:eastAsia="zh-CN"/>
        </w:rPr>
        <w:t xml:space="preserve">‰向发包人支付违约金</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承包人完成竣工退场的期限：工程竣工验收</w:t>
      </w:r>
      <w:r>
        <w:rPr>
          <w:rFonts w:hint="eastAsia" w:ascii="宋体" w:hAnsi="宋体" w:eastAsia="宋体" w:cs="宋体"/>
          <w:color w:val="auto"/>
          <w:sz w:val="21"/>
          <w:szCs w:val="21"/>
          <w:highlight w:val="none"/>
          <w:lang w:val="en-US" w:eastAsia="zh-CN"/>
        </w:rPr>
        <w:t xml:space="preserve">合格</w:t>
      </w:r>
      <w:r>
        <w:rPr>
          <w:rFonts w:hint="eastAsia" w:ascii="宋体" w:hAnsi="宋体" w:eastAsia="宋体" w:cs="宋体"/>
          <w:color w:val="auto"/>
          <w:sz w:val="21"/>
          <w:szCs w:val="21"/>
          <w:highlight w:val="none"/>
        </w:rPr>
        <w:t xml:space="preserve">后，施工单位的施工人员、材料、设备必须在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天内全部退出现场，并将施工现场及临时占地范围内的所有场地清理干净。每延迟一天退场承包人支付1000元违约金。</w:t>
      </w:r>
      <w:bookmarkEnd w:id="31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spacing w:line="360" w:lineRule="auto"/>
        <w:rPr>
          <w:rFonts w:hint="eastAsia" w:ascii="宋体" w:hAnsi="宋体" w:eastAsia="宋体" w:cs="宋体"/>
          <w:color w:val="auto"/>
          <w:sz w:val="21"/>
          <w:szCs w:val="21"/>
          <w:highlight w:val="none"/>
        </w:rPr>
      </w:pPr>
      <w:r/>
      <w:bookmarkStart w:id="378" w:name="_Toc351203647"/>
      <w:r/>
      <w:bookmarkStart w:id="379" w:name="_Toc267251483"/>
      <w:r/>
      <w:bookmarkStart w:id="380" w:name="_Toc267251482"/>
      <w:r/>
      <w:bookmarkStart w:id="381" w:name="_Toc267251484"/>
      <w:r/>
      <w:bookmarkStart w:id="382" w:name="_Toc267251485"/>
      <w:r/>
      <w:bookmarkStart w:id="383" w:name="_Toc267251498"/>
      <w:r/>
      <w:bookmarkStart w:id="384" w:name="_Toc267251488"/>
      <w:r/>
      <w:bookmarkStart w:id="385" w:name="_Toc267251507"/>
      <w:r/>
      <w:bookmarkStart w:id="386" w:name="_Toc267251502"/>
      <w:r/>
      <w:bookmarkStart w:id="387" w:name="_Toc267251492"/>
      <w:r/>
      <w:bookmarkStart w:id="388" w:name="_Toc267251504"/>
      <w:r/>
      <w:bookmarkStart w:id="389" w:name="_Toc267251489"/>
      <w:r/>
      <w:bookmarkStart w:id="390" w:name="_Toc267251493"/>
      <w:r/>
      <w:bookmarkStart w:id="391" w:name="_Toc267251496"/>
      <w:r/>
      <w:bookmarkStart w:id="392" w:name="_Toc267251501"/>
      <w:r/>
      <w:bookmarkStart w:id="393" w:name="_Toc267251506"/>
      <w:r/>
      <w:bookmarkStart w:id="394" w:name="_Toc267251490"/>
      <w:r/>
      <w:bookmarkStart w:id="395" w:name="_Toc267251499"/>
      <w:r/>
      <w:bookmarkStart w:id="396" w:name="_Toc267251494"/>
      <w:r/>
      <w:bookmarkStart w:id="397" w:name="_Toc267251495"/>
      <w:r/>
      <w:bookmarkStart w:id="398" w:name="_Toc267251503"/>
      <w:r/>
      <w:bookmarkStart w:id="399" w:name="_Toc267251497"/>
      <w:r/>
      <w:bookmarkStart w:id="400" w:name="_Toc267251491"/>
      <w:r/>
      <w:bookmarkStart w:id="401" w:name="_Toc267251486"/>
      <w:r/>
      <w:bookmarkStart w:id="402" w:name="_Toc267251508"/>
      <w:r/>
      <w:bookmarkStart w:id="403" w:name="_Toc267251511"/>
      <w:r/>
      <w:bookmarkStart w:id="404" w:name="_Toc267251510"/>
      <w:r/>
      <w:bookmarkStart w:id="405" w:name="_Toc267251514"/>
      <w:r/>
      <w:bookmarkStart w:id="406" w:name="_Toc267251515"/>
      <w:r/>
      <w:bookmarkStart w:id="407" w:name="_Toc267251513"/>
      <w:r/>
      <w:bookmarkStart w:id="408" w:name="_Toc267251509"/>
      <w:r>
        <w:rPr>
          <w:rFonts w:hint="eastAsia" w:ascii="宋体" w:hAnsi="宋体" w:eastAsia="宋体" w:cs="宋体"/>
          <w:color w:val="auto"/>
          <w:sz w:val="21"/>
          <w:szCs w:val="21"/>
          <w:highlight w:val="none"/>
        </w:rPr>
        <w:t xml:space="preserve">14. 竣工结算 </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竣工结算计价方法和工程量计算规则执行《建设工程工程量清单计价规范》（GB50500-2013），综合单价固定不变。</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应如实申报竣工结算报告，工程结算值经最终审定后，核减率≤5%，审计费用由发包人承担；若核减率＞5%，则超出5%部分由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承担。</w:t>
      </w:r>
      <w:r/>
    </w:p>
    <w:p>
      <w:pPr>
        <w:ind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承包方有义务配合发包方进行审计工作，并按发包方的要求提供相关审计资料。如</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未按发包人要求提供报审材料由此影响审计进程及相应的工程款支付由</w:t>
      </w:r>
      <w:r>
        <w:rPr>
          <w:rFonts w:hint="eastAsia" w:ascii="宋体" w:hAnsi="宋体" w:cs="宋体"/>
          <w:b/>
          <w:color w:val="auto"/>
          <w:sz w:val="21"/>
          <w:szCs w:val="21"/>
          <w:highlight w:val="none"/>
          <w:u w:val="single"/>
          <w:lang w:eastAsia="zh-CN"/>
        </w:rPr>
        <w:t xml:space="preserve">供应商</w:t>
      </w:r>
      <w:r>
        <w:rPr>
          <w:rFonts w:hint="eastAsia" w:ascii="宋体" w:hAnsi="宋体" w:eastAsia="宋体" w:cs="宋体"/>
          <w:b/>
          <w:color w:val="auto"/>
          <w:sz w:val="21"/>
          <w:szCs w:val="21"/>
          <w:highlight w:val="none"/>
          <w:u w:val="single"/>
        </w:rPr>
        <w:t xml:space="preserve">自行承担。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14.1竣工付款申请</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提交竣工付款申请单的期限：</w:t>
      </w:r>
      <w:r>
        <w:rPr>
          <w:rFonts w:hint="eastAsia" w:ascii="宋体" w:hAnsi="宋体" w:eastAsia="宋体" w:cs="宋体"/>
          <w:b/>
          <w:color w:val="auto"/>
          <w:sz w:val="21"/>
          <w:szCs w:val="21"/>
          <w:highlight w:val="none"/>
          <w:u w:val="single"/>
        </w:rPr>
        <w:t xml:space="preserve">在工程竣工验收合格后28天内向发包人提交竣工结算申请单</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竣工付款申请单应包括的内容：</w:t>
      </w:r>
      <w:r>
        <w:rPr>
          <w:rFonts w:hint="eastAsia" w:ascii="宋体" w:hAnsi="宋体" w:eastAsia="宋体" w:cs="宋体"/>
          <w:b/>
          <w:color w:val="auto"/>
          <w:sz w:val="21"/>
          <w:szCs w:val="21"/>
          <w:highlight w:val="none"/>
          <w:u w:val="single"/>
        </w:rPr>
        <w:t xml:space="preserve">按发包人要求以及通用条款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14.2竣工结算审核</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color w:val="auto"/>
          <w:sz w:val="21"/>
          <w:szCs w:val="21"/>
          <w:highlight w:val="none"/>
          <w:u w:val="single"/>
        </w:rPr>
        <w:t xml:space="preserve">具体实施按照发包人规定的工作流程及要求执行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b/>
          <w:color w:val="auto"/>
          <w:sz w:val="21"/>
          <w:szCs w:val="21"/>
          <w:highlight w:val="none"/>
          <w:u w:val="single"/>
        </w:rPr>
        <w:t xml:space="preserve">按通用条款第20条“争议解决”的约定办理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14.4最终结清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14.4.1最终结清申请单</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提交最终结清申请单的份数：</w:t>
      </w:r>
      <w:r>
        <w:rPr>
          <w:rFonts w:hint="eastAsia" w:ascii="宋体" w:hAnsi="宋体" w:eastAsia="宋体" w:cs="宋体"/>
          <w:b/>
          <w:color w:val="auto"/>
          <w:sz w:val="21"/>
          <w:szCs w:val="21"/>
          <w:highlight w:val="none"/>
          <w:u w:val="single"/>
        </w:rPr>
        <w:t xml:space="preserve">按发包人要求执行 </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提交最终结算申请单的期限：</w:t>
      </w:r>
      <w:r>
        <w:rPr>
          <w:rFonts w:hint="eastAsia" w:ascii="宋体" w:hAnsi="宋体" w:eastAsia="宋体" w:cs="宋体"/>
          <w:b/>
          <w:color w:val="auto"/>
          <w:sz w:val="21"/>
          <w:szCs w:val="21"/>
          <w:highlight w:val="none"/>
          <w:u w:val="single"/>
        </w:rPr>
        <w:t xml:space="preserve">缺陷责任期满后7天内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14.4.2最终结清证书和支付</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b/>
          <w:color w:val="auto"/>
          <w:sz w:val="21"/>
          <w:szCs w:val="21"/>
          <w:highlight w:val="none"/>
          <w:u w:val="single"/>
        </w:rPr>
        <w:t xml:space="preserve">按发包人工作流程</w:t>
      </w:r>
      <w:r>
        <w:rPr>
          <w:rFonts w:hint="eastAsia" w:ascii="宋体" w:hAnsi="宋体" w:eastAsia="宋体" w:cs="宋体"/>
          <w:b/>
          <w:color w:val="auto"/>
          <w:sz w:val="21"/>
          <w:szCs w:val="21"/>
          <w:highlight w:val="none"/>
        </w:rPr>
        <w:t xml:space="preserve">。</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b/>
          <w:color w:val="auto"/>
          <w:sz w:val="21"/>
          <w:szCs w:val="21"/>
          <w:highlight w:val="none"/>
          <w:u w:val="single"/>
        </w:rPr>
        <w:t xml:space="preserve"> 按发包人规定的工作流程及要求执行。</w:t>
      </w:r>
      <w:r/>
    </w:p>
    <w:p>
      <w:pPr>
        <w:ind w:firstLine="420"/>
        <w:keepLines/>
        <w:keepNext/>
        <w:spacing w:line="360" w:lineRule="auto"/>
        <w:rPr>
          <w:rFonts w:hint="eastAsia" w:ascii="宋体" w:hAnsi="宋体" w:eastAsia="宋体" w:cs="宋体"/>
          <w:color w:val="auto"/>
          <w:sz w:val="21"/>
          <w:szCs w:val="28"/>
          <w:highlight w:val="none"/>
        </w:rPr>
        <w:outlineLvl w:val="3"/>
      </w:pPr>
      <w:r>
        <w:rPr>
          <w:rFonts w:hint="eastAsia" w:ascii="宋体" w:hAnsi="宋体" w:eastAsia="宋体" w:cs="宋体"/>
          <w:color w:val="auto"/>
          <w:sz w:val="21"/>
          <w:szCs w:val="28"/>
          <w:highlight w:val="none"/>
        </w:rPr>
        <w:t xml:space="preserve">15. 缺陷责任期与保修</w:t>
      </w:r>
      <w:bookmarkEnd w:id="37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37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auto"/>
          <w:sz w:val="21"/>
          <w:szCs w:val="21"/>
          <w:highlight w:val="none"/>
          <w:u w:val="single"/>
        </w:rPr>
        <w:t xml:space="preserve">自整体工程实际竣工并经验收合格之日起24个月</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color w:val="auto"/>
          <w:sz w:val="21"/>
          <w:szCs w:val="21"/>
          <w:highlight w:val="none"/>
          <w:u w:val="single"/>
        </w:rPr>
        <w:t xml:space="preserve"> 工程竣工</w:t>
      </w:r>
      <w:r>
        <w:rPr>
          <w:rFonts w:hint="eastAsia" w:ascii="宋体" w:hAnsi="宋体" w:eastAsia="宋体" w:cs="宋体"/>
          <w:b/>
          <w:color w:val="auto"/>
          <w:sz w:val="21"/>
          <w:szCs w:val="21"/>
          <w:highlight w:val="none"/>
          <w:u w:val="single"/>
          <w:lang w:val="en-US" w:eastAsia="zh-CN"/>
        </w:rPr>
        <w:t xml:space="preserve">验收</w:t>
      </w:r>
      <w:r>
        <w:rPr>
          <w:rFonts w:hint="eastAsia" w:ascii="宋体" w:hAnsi="宋体" w:eastAsia="宋体" w:cs="宋体"/>
          <w:b/>
          <w:color w:val="auto"/>
          <w:sz w:val="21"/>
          <w:szCs w:val="21"/>
          <w:highlight w:val="none"/>
          <w:u w:val="single"/>
        </w:rPr>
        <w:t xml:space="preserve">时一次性扣留</w:t>
      </w:r>
      <w:r>
        <w:rPr>
          <w:rFonts w:hint="eastAsia" w:ascii="宋体" w:hAnsi="宋体" w:eastAsia="宋体" w:cs="宋体"/>
          <w:b/>
          <w:color w:val="auto"/>
          <w:sz w:val="21"/>
          <w:szCs w:val="21"/>
          <w:highlight w:val="none"/>
          <w:u w:val="single"/>
          <w:lang w:val="en-US" w:eastAsia="zh-CN"/>
        </w:rPr>
        <w:t xml:space="preserve"> 3% </w:t>
      </w:r>
      <w:r>
        <w:rPr>
          <w:rFonts w:hint="eastAsia" w:ascii="宋体" w:hAnsi="宋体" w:eastAsia="宋体" w:cs="宋体"/>
          <w:b/>
          <w:color w:val="auto"/>
          <w:sz w:val="21"/>
          <w:szCs w:val="21"/>
          <w:highlight w:val="none"/>
          <w:u w:val="single"/>
        </w:rPr>
        <w:t xml:space="preserve">质量保证金</w:t>
      </w:r>
      <w:r>
        <w:rPr>
          <w:rFonts w:hint="eastAsia" w:ascii="宋体" w:hAnsi="宋体" w:eastAsia="宋体" w:cs="宋体"/>
          <w:b/>
          <w:color w:val="auto"/>
          <w:sz w:val="21"/>
          <w:szCs w:val="21"/>
          <w:highlight w:val="none"/>
          <w:u w:val="singl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%的工程款；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 </w:t>
      </w:r>
      <w:r>
        <w:rPr>
          <w:rFonts w:hint="eastAsia" w:ascii="宋体" w:hAnsi="宋体" w:eastAsia="宋体" w:cs="宋体"/>
          <w:color w:val="auto"/>
          <w:sz w:val="21"/>
          <w:szCs w:val="21"/>
          <w:highlight w:val="none"/>
        </w:rPr>
        <w:t xml:space="preserve">种方式：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时一次性扣留</w:t>
      </w: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审定价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质量保证金；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bookmarkEnd w:id="380"/>
      <w:r/>
      <w:bookmarkEnd w:id="38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382"/>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见工程质量保修书 。</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承包人收到保修通知并到达工程现场且修理完成的合理时间：</w:t>
      </w:r>
      <w:r>
        <w:rPr>
          <w:rFonts w:hint="eastAsia" w:ascii="宋体" w:hAnsi="宋体" w:eastAsia="宋体" w:cs="宋体"/>
          <w:b/>
          <w:color w:val="auto"/>
          <w:sz w:val="21"/>
          <w:szCs w:val="21"/>
          <w:highlight w:val="none"/>
          <w:u w:val="single"/>
        </w:rPr>
        <w:t xml:space="preserve"> 收到保修通知或口头通知后24小时内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p>
    <w:p>
      <w:pPr>
        <w:ind w:left="1050" w:hanging="105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（2）因发包人原因无正当理由未能按合同约定支付合同价款的违约责任：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cs="宋体"/>
          <w:color w:val="auto"/>
          <w:sz w:val="21"/>
          <w:szCs w:val="21"/>
          <w:highlight w:val="none"/>
          <w:u w:val="single"/>
          <w:lang w:eastAsia="zh-CN"/>
        </w:rPr>
        <w:t xml:space="preserve">无</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70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因承包人安全文明措施不到位的或未按规定实施的;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若因承包人原因，导致周边住户和单位投诉或新闻媒体负面曝光;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承包人不能按规定上报竣工结算;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因承包人原因发生安全事故给发包人造成影响的;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承包人其他违约情形。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承包人承担全部费用并承担相应法律责任，费用工期不顺延 。工期延误每延误一天，承包人赔偿给发包人合同总价款</w:t>
      </w:r>
      <w:r>
        <w:rPr>
          <w:rFonts w:hint="eastAsia" w:ascii="宋体" w:hAnsi="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‰的违约金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并从工程款中直接扣除，延期超过30日的，发包人有权单方解除合同，并有权要求承包人赔偿发包人因此遭受的一切损失。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银行履约保函或履约保证金，承包人承担违约责任、支付违约金、赔偿发包人工期和其他实际直接损失，承包人在现场的人员无条件退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承包人在现场的设备和材料等无条件</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rPr>
        <w:t xml:space="preserve">供发包人使用，其设备租金和材料价值待法院裁定后，如有剩余，在裁定生效后7天内支付。</w:t>
      </w:r>
      <w:r/>
    </w:p>
    <w:p>
      <w:pPr>
        <w:ind w:left="160" w:firstLine="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不可抗力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建筑工程一切险由承包人负责投保，相关费用已含在投标报价中。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按通用条款执行。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是。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按通用条款执行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bookmarkEnd w:id="402"/>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连云港市</w:t>
      </w:r>
      <w:r>
        <w:rPr>
          <w:rFonts w:hint="eastAsia" w:ascii="宋体" w:hAnsi="宋体" w:cs="宋体"/>
          <w:b/>
          <w:color w:val="auto"/>
          <w:sz w:val="21"/>
          <w:szCs w:val="21"/>
          <w:highlight w:val="none"/>
          <w:u w:val="single"/>
          <w:lang w:eastAsia="zh-CN"/>
        </w:rPr>
        <w:t xml:space="preserve">连云区</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的人民法院起诉。</w:t>
      </w:r>
      <w:bookmarkEnd w:id="403"/>
      <w:r/>
      <w:bookmarkEnd w:id="404"/>
      <w:r/>
      <w:bookmarkEnd w:id="405"/>
      <w:r/>
      <w:bookmarkEnd w:id="406"/>
      <w:r/>
      <w:bookmarkEnd w:id="407"/>
      <w:r/>
      <w:bookmarkEnd w:id="408"/>
      <w:r/>
      <w:bookmarkStart w:id="409" w:name="_Toc351203652"/>
      <w:r/>
      <w:bookmarkEnd w:id="40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承包人不得转包或者违法分包，一经发现，发包人有权立即解除本合同，并有权要求承包人承担合同总价款20%的违约金，造成发包人其他损失的，包括但不限于律师费、诉讼费等，承包人还需按实赔偿。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承包人应当严格落实安全生产保障措施，如发生安全事故，由承包人负责处理并承担全部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发包人有权随时解除本合同、并要求承包人承担合同总价款20%的违约金，承包人必须在发包人要求的期限内清场，不得影响工程的后续建设，如影响工程后续建设的，还应当赔偿发包人的实际损失。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承包人应当按时向发包人提供工程竣工验收资料及归档材料，如不能按期提供，发包人有权要求承包人承担合同总价款5%的违约金，承包人还应当按照发包人要求及时完成。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其他违约责任</w:t>
      </w:r>
      <w:r>
        <w:rPr>
          <w:rFonts w:hint="eastAsia" w:ascii="宋体" w:hAnsi="宋体" w:eastAsia="宋体" w:cs="宋体"/>
          <w:color w:val="auto"/>
          <w:sz w:val="21"/>
          <w:szCs w:val="21"/>
          <w:highlight w:val="none"/>
          <w:lang w:eastAsia="zh-CN"/>
        </w:rPr>
        <w:t xml:space="preserve">及其他未尽事宜</w:t>
      </w:r>
      <w:r>
        <w:rPr>
          <w:rFonts w:hint="eastAsia" w:ascii="宋体" w:hAnsi="宋体" w:eastAsia="宋体" w:cs="宋体"/>
          <w:color w:val="auto"/>
          <w:sz w:val="21"/>
          <w:szCs w:val="21"/>
          <w:highlight w:val="none"/>
        </w:rPr>
        <w:t xml:space="preserve">按照通用条款执行。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21.5双方就具体事宜达成的书面协议作为合同组成部分。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21.6投标文件如与招标文件要求不一致时，以招标文件为准。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21.7本合同附件，合同附件与合同具有同等的法律效力。</w:t>
      </w:r>
      <w:r/>
    </w:p>
    <w:p>
      <w:pPr>
        <w:ind w:firstLine="420"/>
        <w:spacing w:line="360" w:lineRule="auto"/>
        <w:rPr>
          <w:rFonts w:hint="eastAsia" w:ascii="宋体" w:hAnsi="宋体" w:eastAsia="宋体" w:cs="宋体"/>
          <w:color w:val="auto"/>
          <w:sz w:val="21"/>
          <w:szCs w:val="21"/>
          <w:highlight w:val="none"/>
        </w:rPr>
        <w:sectPr>
          <w:headerReference w:type="default" r:id="rId11"/>
          <w:footerReference w:type="default" r:id="rId16"/>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auto"/>
          <w:sz w:val="21"/>
          <w:szCs w:val="21"/>
          <w:highlight w:val="none"/>
        </w:rPr>
      </w:r>
      <w:r/>
    </w:p>
    <w:p>
      <w:pPr>
        <w:pStyle w:val="1125"/>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鸿桥花园安置小区一二期基础设施改造维修项目</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二、质量保修期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根据《建设工程质量管理条例》及有关规定，工程的质量保修期如下：</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1.地基基础工程和主体结构工程为设计文件规定的工程合理使用年限；</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2.屋面防水工程、有防水要求的卫生间、房间和外墙面的防渗为 5 年；</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3.装修工程为  2 年；</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4.电气管线、给排水管道、设备安装工程为  2  年；</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5.供热与供冷系统为 2 个采暖期、供冷期；</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6.住宅小区内的给排水设施、道路等配套工程为 2 年；</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7.其他项目保修期限约定如下： 2 年。</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质量保修期自工程竣工验收合格之日起计算。</w:t>
      </w:r>
      <w:r/>
    </w:p>
    <w:p>
      <w:pPr>
        <w:ind w:firstLine="420"/>
        <w:spacing w:line="520" w:lineRule="exact"/>
        <w:rPr>
          <w:rFonts w:hint="eastAsia" w:ascii="宋体" w:hAnsi="宋体" w:eastAsia="宋体" w:cs="Times New Roman"/>
          <w:color w:val="000000"/>
          <w:sz w:val="21"/>
          <w:szCs w:val="21"/>
          <w:highlight w:val="none"/>
          <w:u w:val="none"/>
        </w:rPr>
      </w:pPr>
      <w:r>
        <w:rPr>
          <w:rFonts w:hint="eastAsia" w:ascii="宋体" w:hAnsi="宋体" w:eastAsia="宋体" w:cs="Times New Roman"/>
          <w:color w:val="000000"/>
          <w:sz w:val="21"/>
          <w:szCs w:val="21"/>
          <w:highlight w:val="none"/>
          <w:u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10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0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08"/>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25"/>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5"/>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79"/>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9"/>
        <w:rPr>
          <w:rFonts w:hint="eastAsia" w:ascii="宋体" w:hAnsi="宋体" w:eastAsia="宋体"/>
          <w:color w:val="auto"/>
          <w:sz w:val="21"/>
          <w:szCs w:val="21"/>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79"/>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08"/>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鸿桥花园安置小区一二期基础设施改造维修项目</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鸿桥花园安置小区一二期基础设施改造维修项目</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79"/>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ascii="宋体" w:hAnsi="宋体" w:cs="宋体"/>
          <w:highlight w:val="none"/>
        </w:rPr>
      </w:pPr>
      <w:r>
        <w:rPr>
          <w:rFonts w:hint="eastAsia" w:ascii="宋体" w:hAnsi="宋体" w:cs="宋体"/>
          <w:highlight w:val="none"/>
        </w:rPr>
        <w:t xml:space="preserve">附件</w:t>
      </w:r>
      <w:r>
        <w:rPr>
          <w:rFonts w:hint="eastAsia" w:ascii="宋体" w:hAnsi="宋体" w:cs="宋体"/>
          <w:highlight w:val="none"/>
          <w:lang w:val="en-US" w:eastAsia="zh-CN"/>
        </w:rPr>
        <w:t xml:space="preserve">6</w:t>
      </w:r>
      <w:r>
        <w:rPr>
          <w:rFonts w:hint="eastAsia" w:ascii="宋体" w:hAnsi="宋体" w:cs="宋体"/>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08"/>
        <w:ind w:left="0" w:right="0" w:firstLine="420"/>
        <w:spacing w:before="0" w:after="0" w:line="440" w:lineRule="exact"/>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致：</w:t>
      </w:r>
      <w:r>
        <w:rPr>
          <w:rFonts w:hint="eastAsia" w:ascii="宋体" w:hAnsi="宋体" w:cs="宋体"/>
          <w:sz w:val="21"/>
          <w:szCs w:val="21"/>
          <w:highlight w:val="none"/>
          <w:lang w:val="en-US" w:eastAsia="zh-CN"/>
        </w:rPr>
        <w:t xml:space="preserve">采购人</w:t>
      </w:r>
      <w:r/>
    </w:p>
    <w:p>
      <w:pPr>
        <w:pStyle w:val="1108"/>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8"/>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8"/>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鸿桥花园安置小区一二期基础设施改造维修项目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8"/>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8"/>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8"/>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8"/>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8"/>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79"/>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410"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410"/>
      <w:r/>
      <w:r/>
    </w:p>
    <w:p>
      <w:pPr>
        <w:ind w:firstLine="517"/>
        <w:jc w:val="left"/>
        <w:spacing w:line="360" w:lineRule="auto"/>
        <w:rPr>
          <w:rFonts w:hint="eastAsia" w:ascii="宋体" w:hAnsi="宋体" w:eastAsia="宋体" w:cs="宋体"/>
          <w:b/>
          <w:bCs/>
          <w:color w:val="auto"/>
          <w:sz w:val="21"/>
          <w:szCs w:val="21"/>
          <w:highlight w:val="none"/>
        </w:rPr>
      </w:pPr>
      <w:r/>
      <w:bookmarkStart w:id="411" w:name="_Toc23828480"/>
      <w:r/>
      <w:bookmarkStart w:id="412" w:name="_Toc26554097"/>
      <w:r/>
      <w:bookmarkStart w:id="413" w:name="_Toc61149622"/>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spacing w:line="500" w:lineRule="exact"/>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spacing w:line="500" w:lineRule="exact"/>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鸿桥花园安置小区一二期基础设施改造维修项目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400" w:lineRule="exact"/>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（一）本工程采用的计价规范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1、《建设工程工程量清单计价规范》(GB50500-2013)；</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2、《江苏省建设工程费用定额》(2014)；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3、《江苏省市政工程计价定额》(2014)；</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4、连云港市及江苏省相关文件精神。</w:t>
      </w:r>
      <w:r/>
    </w:p>
    <w:p>
      <w:pPr>
        <w:ind w:firstLine="422"/>
        <w:jc w:val="left"/>
        <w:keepLines w:val="0"/>
        <w:keepNext w:val="0"/>
        <w:pageBreakBefore w:val="0"/>
        <w:spacing w:line="44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pStyle w:val="1093"/>
        <w:ind w:firstLine="422"/>
        <w:jc w:val="both"/>
        <w:keepLines w:val="0"/>
        <w:keepNext w:val="0"/>
        <w:pageBreakBefore w:val="0"/>
        <w:spacing w:before="23" w:line="360" w:lineRule="auto"/>
        <w:widowControl w:val="off"/>
        <w:rPr>
          <w:rFonts w:hint="eastAsia" w:ascii="宋体" w:hAnsi="宋体" w:eastAsia="宋体" w:cs="宋体"/>
          <w:b/>
          <w:bCs/>
          <w:i/>
          <w:iCs/>
          <w:color w:val="auto"/>
          <w:sz w:val="21"/>
          <w:szCs w:val="21"/>
          <w:highlight w:val="none"/>
          <w:u w:val="single"/>
          <w:lang w:val="en-US" w:eastAsia="zh-CN" w:bidi="ar-SA"/>
        </w:rPr>
      </w:pPr>
      <w:r/>
      <w:bookmarkStart w:id="451" w:name="_GoBack"/>
      <w:r>
        <w:rPr>
          <w:rFonts w:hint="eastAsia" w:ascii="宋体" w:hAnsi="宋体" w:eastAsia="宋体" w:cs="宋体"/>
          <w:b/>
          <w:bCs/>
          <w:i/>
          <w:iCs/>
          <w:color w:val="auto"/>
          <w:sz w:val="21"/>
          <w:szCs w:val="21"/>
          <w:highlight w:val="none"/>
          <w:u w:val="single"/>
          <w:lang w:val="en-US" w:eastAsia="zh-CN" w:bidi="ar-SA"/>
        </w:rPr>
        <w:t xml:space="preserve">1、付款方式：工程完工并验收合格后付至已完合格工程量价款的80%,竣工结算审计完成后付至审定价的97%。留审定合同价款的3%作为质量保修金，待缺陷责任期(2年)后且无质量问题也无违约情况下付清余款（详见合同条款）。</w:t>
      </w:r>
      <w:r/>
    </w:p>
    <w:p>
      <w:pPr>
        <w:pStyle w:val="1093"/>
        <w:ind w:firstLine="422"/>
        <w:jc w:val="both"/>
        <w:keepLines w:val="0"/>
        <w:keepNext w:val="0"/>
        <w:pageBreakBefore w:val="0"/>
        <w:spacing w:before="23"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ascii="宋体" w:hAnsi="宋体" w:eastAsia="宋体" w:cs="宋体"/>
          <w:b/>
          <w:bCs/>
          <w:i/>
          <w:iCs/>
          <w:color w:val="auto"/>
          <w:sz w:val="21"/>
          <w:szCs w:val="21"/>
          <w:highlight w:val="none"/>
          <w:u w:val="single"/>
          <w:lang w:val="en-US" w:eastAsia="zh-CN"/>
        </w:rPr>
        <w:t xml:space="preserve">120日历天</w:t>
      </w:r>
      <w:r>
        <w:rPr>
          <w:rFonts w:hint="eastAsia" w:ascii="宋体" w:hAnsi="宋体" w:eastAsia="宋体" w:cs="宋体"/>
          <w:b/>
          <w:bCs/>
          <w:i/>
          <w:iCs/>
          <w:color w:val="auto"/>
          <w:sz w:val="21"/>
          <w:szCs w:val="21"/>
          <w:highlight w:val="none"/>
          <w:u w:val="single"/>
        </w:rPr>
        <w:t xml:space="preserve">（以实际开工日起计算）。</w:t>
      </w:r>
      <w:r/>
    </w:p>
    <w:p>
      <w:pPr>
        <w:pStyle w:val="1093"/>
        <w:ind w:firstLine="422"/>
        <w:jc w:val="both"/>
        <w:keepLines w:val="0"/>
        <w:keepNext w:val="0"/>
        <w:pageBreakBefore w:val="0"/>
        <w:spacing w:before="23" w:line="360" w:lineRule="auto"/>
        <w:widowControl w:val="off"/>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3、质量标准：合格。</w:t>
      </w:r>
      <w:r/>
    </w:p>
    <w:p>
      <w:pPr>
        <w:ind w:firstLine="420"/>
        <w:jc w:val="left"/>
        <w:spacing w:line="360" w:lineRule="auto"/>
        <w:tabs>
          <w:tab w:val="left" w:pos="900" w:leader="none"/>
        </w:tabs>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4、履约保证金：</w:t>
      </w:r>
      <w:r/>
    </w:p>
    <w:p>
      <w:pPr>
        <w:ind w:firstLine="420"/>
        <w:jc w:val="left"/>
        <w:spacing w:line="360" w:lineRule="auto"/>
        <w:tabs>
          <w:tab w:val="left" w:pos="900" w:leader="none"/>
        </w:tabs>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履约担保的形式： 现金（转账、电汇）或银行保函  </w:t>
      </w:r>
      <w:r/>
    </w:p>
    <w:p>
      <w:pPr>
        <w:ind w:firstLine="420"/>
        <w:jc w:val="left"/>
        <w:spacing w:line="360" w:lineRule="auto"/>
        <w:tabs>
          <w:tab w:val="left" w:pos="900" w:leader="none"/>
        </w:tabs>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履约担保的金额： 成交价的10%；履约保函到期后仍在施工，应继续提供有效的履约担保，否则建设单位有权从工程进度款中扣取相应的履约保证金，银行保函有效期至本工程竣工验收合格之日止，现金在工程经竣工验收合格后 28 天内无息退还。成交人应在中标公告发布后次日（以首个工作日开始计算）起15日内且合同签订前向采购人提交，如无法在中标公告发布之日（以首个工作日开始计算）起15日内如约提交，将视为成交人主动放弃其成交资格，取消其成交资格。</w:t>
      </w:r>
      <w:r/>
    </w:p>
    <w:p>
      <w:pPr>
        <w:ind w:firstLine="420"/>
        <w:jc w:val="left"/>
        <w:keepLines w:val="0"/>
        <w:keepNext w:val="0"/>
        <w:pageBreakBefore w:val="0"/>
        <w:spacing w:line="440" w:lineRule="exact"/>
        <w:widowControl w:val="off"/>
        <w:rPr>
          <w:rFonts w:hint="eastAsia" w:ascii="宋体" w:hAnsi="宋体" w:cs="宋体"/>
          <w:color w:val="auto"/>
          <w:szCs w:val="21"/>
          <w:highlight w:val="none"/>
          <w:lang w:eastAsia="zh-CN"/>
        </w:rPr>
      </w:pPr>
      <w:r>
        <w:rPr>
          <w:rFonts w:hint="eastAsia" w:ascii="宋体" w:hAnsi="宋体" w:eastAsia="宋体" w:cs="宋体"/>
          <w:b/>
          <w:bCs/>
          <w:i/>
          <w:iCs/>
          <w:color w:val="auto"/>
          <w:sz w:val="21"/>
          <w:szCs w:val="21"/>
          <w:highlight w:val="none"/>
          <w:u w:val="single"/>
          <w:lang w:val="en-US" w:eastAsia="zh-CN" w:bidi="ar-SA"/>
        </w:rPr>
        <w:t xml:space="preserve">注：</w:t>
      </w:r>
      <w:r>
        <w:rPr>
          <w:rFonts w:hint="default" w:ascii="宋体" w:hAnsi="宋体" w:eastAsia="宋体" w:cs="宋体"/>
          <w:b/>
          <w:bCs/>
          <w:i/>
          <w:iCs/>
          <w:color w:val="auto"/>
          <w:sz w:val="21"/>
          <w:szCs w:val="21"/>
          <w:highlight w:val="none"/>
          <w:u w:val="single"/>
          <w:lang w:val="en-US" w:eastAsia="zh-CN" w:bidi="ar-SA"/>
        </w:rPr>
        <w:t xml:space="preserve">承包人向发包人提供履约保证金后，发包人向承包人提供同等额度的工程款支付担保。</w:t>
      </w:r>
      <w:r/>
    </w:p>
    <w:p>
      <w:pPr>
        <w:ind w:firstLine="482"/>
        <w:keepLines w:val="0"/>
        <w:keepNext w:val="0"/>
        <w:pageBreakBefore w:val="0"/>
        <w:spacing w:line="48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任何</w:t>
      </w:r>
      <w:bookmarkEnd w:id="451"/>
      <w:r>
        <w:rPr>
          <w:rFonts w:hint="eastAsia" w:ascii="宋体" w:hAnsi="宋体" w:eastAsia="宋体" w:cs="宋体"/>
          <w:color w:val="auto"/>
          <w:sz w:val="21"/>
          <w:szCs w:val="21"/>
          <w:highlight w:val="none"/>
        </w:rPr>
        <w:t xml:space="preserve">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spacing w:line="520" w:lineRule="exact"/>
        <w:rPr>
          <w:rFonts w:ascii="宋体" w:hAnsi="宋体" w:cs="宋体"/>
          <w:b/>
          <w:bCs/>
          <w:color w:val="auto"/>
          <w:sz w:val="21"/>
          <w:szCs w:val="21"/>
          <w:highlight w:val="none"/>
        </w:rPr>
      </w:pPr>
      <w:r/>
      <w:bookmarkStart w:id="414"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414"/>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415" w:name="_Toc20093"/>
      <w:r/>
      <w:r/>
    </w:p>
    <w:p>
      <w:pPr>
        <w:rPr>
          <w:highlight w:val="none"/>
        </w:rPr>
      </w:pPr>
      <w:r>
        <w:rPr>
          <w:highlight w:val="none"/>
        </w:rPr>
      </w:r>
      <w:r/>
    </w:p>
    <w:p>
      <w:pPr>
        <w:pStyle w:val="81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415"/>
      <w:r/>
      <w:r/>
    </w:p>
    <w:p>
      <w:pPr>
        <w:rPr>
          <w:color w:val="auto"/>
          <w:highlight w:val="none"/>
        </w:rPr>
      </w:pPr>
      <w:r>
        <w:rPr>
          <w:color w:val="auto"/>
          <w:highlight w:val="none"/>
        </w:rPr>
      </w:r>
      <w:r/>
    </w:p>
    <w:p>
      <w:pPr>
        <w:rPr>
          <w:color w:val="auto"/>
          <w:highlight w:val="none"/>
        </w:rPr>
      </w:pPr>
      <w:r>
        <w:rPr>
          <w:color w:val="auto"/>
          <w:highlight w:val="none"/>
        </w:rPr>
      </w:r>
      <w:r/>
    </w:p>
    <w:p>
      <w:pPr>
        <w:pStyle w:val="10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79"/>
        <w:ind w:firstLine="420"/>
        <w:spacing w:before="0" w:after="0"/>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spacing w:line="360" w:lineRule="auto"/>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spacing w:line="360" w:lineRule="auto"/>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spacing w:line="360" w:lineRule="auto"/>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79"/>
        <w:ind w:firstLine="420"/>
        <w:spacing w:before="0" w:after="0"/>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79"/>
        <w:ind w:firstLine="420"/>
        <w:spacing w:before="0" w:after="0"/>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6"/>
        <w:ind w:firstLine="420"/>
        <w:jc w:val="left"/>
        <w:spacing w:line="480" w:lineRule="exact"/>
        <w:rPr>
          <w:rFonts w:hAnsi="宋体"/>
          <w:color w:val="auto"/>
          <w:szCs w:val="21"/>
          <w:highlight w:val="none"/>
        </w:rPr>
      </w:pPr>
      <w:r>
        <w:rPr>
          <w:rFonts w:hint="eastAsia" w:hAnsi="宋体"/>
          <w:color w:val="auto"/>
          <w:szCs w:val="21"/>
          <w:highlight w:val="none"/>
        </w:rPr>
        <w:t xml:space="preserve">四、评审标准： </w:t>
      </w:r>
      <w:r/>
    </w:p>
    <w:p>
      <w:pPr>
        <w:pStyle w:val="836"/>
        <w:ind w:firstLine="420"/>
        <w:jc w:val="left"/>
        <w:spacing w:line="480" w:lineRule="exact"/>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6"/>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6"/>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22"/>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spacing w:line="400" w:lineRule="exact"/>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spacing w:line="312" w:lineRule="atLeast"/>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spacing w:line="312" w:lineRule="atLeast"/>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spacing w:line="312" w:lineRule="atLeast"/>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42分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400" w:lineRule="exact"/>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8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7</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5</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81"/>
              <w:ind w:firstLine="210"/>
              <w:jc w:val="left"/>
              <w:keepLines w:val="0"/>
              <w:keepNext w:val="0"/>
              <w:pageBreakBefore w:val="0"/>
              <w:spacing w:line="400" w:lineRule="exact"/>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400" w:lineRule="exact"/>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400" w:lineRule="exact"/>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81"/>
              <w:ind w:firstLine="210"/>
              <w:jc w:val="left"/>
              <w:keepLines w:val="0"/>
              <w:keepNext w:val="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7</w:t>
            </w:r>
            <w:r>
              <w:rPr>
                <w:rFonts w:ascii="Times New Roman" w:hAnsi="Times New Roman"/>
                <w:b/>
                <w:bCs/>
                <w:color w:val="auto"/>
                <w:szCs w:val="21"/>
                <w:highlight w:val="none"/>
              </w:rPr>
              <w:t xml:space="preserve">分；</w:t>
            </w:r>
            <w:r/>
          </w:p>
          <w:p>
            <w:pPr>
              <w:pStyle w:val="1081"/>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5</w:t>
            </w:r>
            <w:r>
              <w:rPr>
                <w:rFonts w:ascii="Times New Roman" w:hAnsi="Times New Roman"/>
                <w:b/>
                <w:bCs/>
                <w:color w:val="auto"/>
                <w:szCs w:val="21"/>
                <w:highlight w:val="none"/>
              </w:rPr>
              <w:t xml:space="preserve">分；</w:t>
            </w:r>
            <w:r/>
          </w:p>
          <w:p>
            <w:pPr>
              <w:pStyle w:val="1081"/>
              <w:ind w:firstLine="210"/>
              <w:jc w:val="left"/>
              <w:keepLines w:val="0"/>
              <w:keepNext w:val="0"/>
              <w:pageBreakBefore w:val="0"/>
              <w:spacing w:line="400" w:lineRule="exact"/>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3</w:t>
            </w:r>
            <w:r>
              <w:rPr>
                <w:rFonts w:ascii="Times New Roman" w:hAnsi="Times New Roman"/>
                <w:b/>
                <w:bCs/>
                <w:color w:val="auto"/>
                <w:szCs w:val="21"/>
                <w:highlight w:val="none"/>
              </w:rPr>
              <w:t xml:space="preserve">分。</w:t>
            </w:r>
            <w:r/>
          </w:p>
          <w:p>
            <w:pPr>
              <w:pStyle w:val="1081"/>
              <w:ind w:firstLine="210"/>
              <w:jc w:val="left"/>
              <w:keepLines w:val="0"/>
              <w:keepNext w:val="0"/>
              <w:pageBreakBefore w:val="0"/>
              <w:spacing w:line="400" w:lineRule="exact"/>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28分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1、履约保障 </w:t>
            </w:r>
            <w:r/>
          </w:p>
          <w:p>
            <w:pPr>
              <w:ind w:firstLine="21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2、业绩 </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年1月至今(以</w:t>
            </w:r>
            <w:r>
              <w:rPr>
                <w:rFonts w:hint="eastAsia" w:ascii="宋体" w:hAnsi="宋体" w:cs="宋体"/>
                <w:color w:val="auto"/>
                <w:sz w:val="21"/>
                <w:szCs w:val="21"/>
                <w:highlight w:val="none"/>
                <w:lang w:eastAsia="zh-CN"/>
              </w:rPr>
              <w:t xml:space="preserve">合同签订时间为准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w:t>
            </w:r>
            <w:r>
              <w:rPr>
                <w:rFonts w:hint="eastAsia" w:ascii="宋体" w:hAnsi="宋体" w:eastAsia="宋体" w:cs="宋体"/>
                <w:color w:val="auto"/>
                <w:sz w:val="21"/>
                <w:szCs w:val="21"/>
                <w:highlight w:val="none"/>
                <w:lang w:val="en-US" w:eastAsia="zh-CN"/>
              </w:rPr>
              <w:t xml:space="preserve">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注：证明材料须提供有效的合同文件（提供的证明材料必须能清晰的表明类似工程的供应商名称、工程内容、时间等需要明示的内容，否则不予认可）扫描件，未提供或未按要求提供，此项不得分。</w:t>
            </w:r>
            <w:r>
              <w:rPr>
                <w:rFonts w:hint="eastAsia" w:ascii="宋体" w:hAnsi="宋体" w:eastAsia="宋体" w:cs="宋体"/>
                <w:b/>
                <w:bCs/>
                <w:color w:val="000000"/>
                <w:sz w:val="21"/>
                <w:szCs w:val="21"/>
                <w:highlight w:val="none"/>
                <w:lang w:val="zh-CN" w:eastAsia="zh-CN" w:bidi="ar-SA"/>
              </w:rPr>
              <w:t xml:space="preserve">合同</w:t>
            </w:r>
            <w:r>
              <w:rPr>
                <w:rFonts w:hint="eastAsia" w:ascii="宋体" w:hAnsi="宋体" w:eastAsia="宋体" w:cs="宋体"/>
                <w:b/>
                <w:bCs/>
                <w:color w:val="000000"/>
                <w:sz w:val="21"/>
                <w:szCs w:val="21"/>
                <w:highlight w:val="none"/>
                <w:lang w:val="en-US" w:eastAsia="zh-CN" w:bidi="ar-SA"/>
              </w:rPr>
              <w:t xml:space="preserve">类似或是否符合要求，由评审委员会统一认定后给予得分。</w:t>
            </w:r>
            <w:r/>
          </w:p>
        </w:tc>
      </w:tr>
      <w:tr>
        <w:trPr>
          <w:jc w:val="center"/>
          <w:trHeight w:val="3980"/>
        </w:trPr>
        <w:tc>
          <w:tcPr>
            <w:tcW w:w="111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exact"/>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3、人员配备 （满分12分）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w:t>
            </w:r>
            <w:r>
              <w:rPr>
                <w:rFonts w:hint="eastAsia" w:ascii="宋体" w:hAnsi="宋体" w:cs="宋体"/>
                <w:color w:val="auto"/>
                <w:sz w:val="21"/>
                <w:szCs w:val="21"/>
                <w:highlight w:val="none"/>
                <w:lang w:val="en-US" w:eastAsia="zh-CN"/>
              </w:rPr>
              <w:t xml:space="preserve">技术负责人</w:t>
            </w:r>
            <w:r>
              <w:rPr>
                <w:rFonts w:hint="eastAsia" w:ascii="宋体" w:hAnsi="宋体" w:eastAsia="宋体" w:cs="宋体"/>
                <w:color w:val="auto"/>
                <w:sz w:val="21"/>
                <w:szCs w:val="21"/>
                <w:highlight w:val="none"/>
                <w:lang w:val="en-US" w:eastAsia="zh-CN"/>
              </w:rPr>
              <w:t xml:space="preserve"> （4分）（与项目负责人不得为同一人）</w:t>
            </w:r>
            <w:r/>
          </w:p>
          <w:p>
            <w:pPr>
              <w:numPr>
                <w:ilvl w:val="0"/>
                <w:numId w:val="0"/>
              </w:numPr>
              <w:ind w:firstLine="630"/>
              <w:jc w:val="both"/>
              <w:keepLines w:val="0"/>
              <w:keepNext w:val="0"/>
              <w:pageBreakBefore w:val="0"/>
              <w:spacing w:line="36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技术负责人具有壹级注册建造师得4分，具有贰级注册建造师得2分，本项最高得4分；</w:t>
            </w:r>
            <w:r/>
          </w:p>
          <w:p>
            <w:pPr>
              <w:numPr>
                <w:ilvl w:val="0"/>
                <w:numId w:val="0"/>
              </w:numPr>
              <w:ind w:firstLine="42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（项目负责人</w:t>
            </w:r>
            <w:r>
              <w:rPr>
                <w:rFonts w:hint="eastAsia" w:ascii="宋体" w:hAnsi="宋体" w:cs="宋体"/>
                <w:color w:val="auto"/>
                <w:sz w:val="21"/>
                <w:szCs w:val="21"/>
                <w:highlight w:val="none"/>
                <w:lang w:val="en-US" w:eastAsia="zh-CN"/>
              </w:rPr>
              <w:t xml:space="preserve">除外</w:t>
            </w:r>
            <w:r>
              <w:rPr>
                <w:rFonts w:hint="eastAsia" w:ascii="宋体" w:hAnsi="宋体" w:eastAsia="宋体" w:cs="宋体"/>
                <w:color w:val="auto"/>
                <w:sz w:val="21"/>
                <w:szCs w:val="21"/>
                <w:highlight w:val="none"/>
                <w:lang w:val="en-US" w:eastAsia="zh-CN"/>
              </w:rPr>
              <w:t xml:space="preserve">）</w:t>
            </w:r>
            <w:r/>
          </w:p>
          <w:p>
            <w:pPr>
              <w:numPr>
                <w:ilvl w:val="0"/>
                <w:numId w:val="0"/>
              </w:numPr>
              <w:ind w:firstLine="630"/>
              <w:jc w:val="both"/>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项目组成员中具有注册建造师贰级及以上证书（有效期内）或者具有工程建设类中级及以上职称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 2个证书只计取一次)</w:t>
            </w:r>
            <w:r>
              <w:rPr>
                <w:rFonts w:hint="eastAsia" w:ascii="宋体" w:hAnsi="宋体" w:eastAsia="宋体" w:cs="宋体"/>
                <w:color w:val="auto"/>
                <w:sz w:val="21"/>
                <w:szCs w:val="21"/>
                <w:highlight w:val="none"/>
                <w:lang w:val="en-US" w:eastAsia="zh-CN"/>
              </w:rPr>
              <w:t xml:space="preserve">。</w:t>
            </w:r>
            <w:r/>
          </w:p>
          <w:p>
            <w:pPr>
              <w:ind w:firstLine="422"/>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w:t>
            </w:r>
            <w:r>
              <w:rPr>
                <w:rFonts w:hint="eastAsia" w:ascii="宋体" w:hAnsi="宋体" w:eastAsia="宋体" w:cs="宋体"/>
                <w:sz w:val="21"/>
                <w:szCs w:val="21"/>
                <w:highlight w:val="none"/>
              </w:rPr>
              <w:t xml:space="preserve">（高等院校、科研机构、军事管理等部门从事工程设计、施工的技术人员不能提供社会保险缴纳证明的，由所在单位上级人事主管部门提供相应的证明材料）</w:t>
            </w:r>
            <w:r>
              <w:rPr>
                <w:rFonts w:hint="eastAsia" w:ascii="宋体" w:hAnsi="宋体" w:eastAsia="宋体" w:cs="宋体"/>
                <w:sz w:val="21"/>
                <w:szCs w:val="21"/>
                <w:highlight w:val="none"/>
                <w:lang w:eastAsia="zh-CN"/>
              </w:rPr>
              <w:t xml:space="preserve">；</w:t>
            </w:r>
            <w:r>
              <w:rPr>
                <w:rFonts w:hint="eastAsia" w:ascii="宋体" w:hAnsi="宋体" w:eastAsia="宋体" w:cs="宋体"/>
                <w:b/>
                <w:sz w:val="21"/>
                <w:szCs w:val="21"/>
                <w:lang w:val="en-GB"/>
              </w:rPr>
              <w:t xml:space="preserve">（如是退休人员仍在执业有效期内的，应提供相关退休证明及</w:t>
            </w:r>
            <w:r>
              <w:rPr>
                <w:rFonts w:hint="eastAsia" w:ascii="宋体" w:hAnsi="宋体" w:eastAsia="宋体" w:cs="宋体"/>
                <w:b/>
                <w:sz w:val="21"/>
                <w:szCs w:val="21"/>
                <w:lang w:val="en-GB" w:eastAsia="zh-CN"/>
              </w:rPr>
              <w:t xml:space="preserve">有效的返聘</w:t>
            </w:r>
            <w:r>
              <w:rPr>
                <w:rFonts w:hint="eastAsia" w:ascii="宋体" w:hAnsi="宋体" w:eastAsia="宋体" w:cs="宋体"/>
                <w:b/>
                <w:sz w:val="21"/>
                <w:szCs w:val="21"/>
                <w:lang w:val="en-GB"/>
              </w:rPr>
              <w:t xml:space="preserve">合同）。</w:t>
            </w:r>
            <w:r>
              <w:rPr>
                <w:rFonts w:hint="eastAsia" w:ascii="宋体" w:hAnsi="宋体" w:eastAsia="宋体" w:cs="宋体"/>
                <w:b/>
                <w:bCs/>
                <w:color w:val="000000"/>
                <w:sz w:val="21"/>
                <w:szCs w:val="21"/>
                <w:highlight w:val="none"/>
                <w:lang w:val="en-US" w:eastAsia="zh-CN" w:bidi="ar-SA"/>
              </w:rPr>
              <w:t xml:space="preserve">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4"/>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12"/>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416" w:name="_Toc2747"/>
      <w:r/>
      <w:r/>
    </w:p>
    <w:p>
      <w:pPr>
        <w:rPr>
          <w:highlight w:val="none"/>
        </w:rPr>
      </w:pPr>
      <w:r>
        <w:rPr>
          <w:highlight w:val="none"/>
        </w:rPr>
      </w:r>
      <w:r/>
    </w:p>
    <w:p>
      <w:pPr>
        <w:pStyle w:val="812"/>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416"/>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79"/>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411"/>
      <w:r/>
      <w:bookmarkEnd w:id="412"/>
      <w:r/>
      <w:bookmarkEnd w:id="413"/>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9"/>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17" w:name="_Toc2818"/>
      <w:r/>
      <w:bookmarkStart w:id="418" w:name="_Toc49090582"/>
      <w:r/>
      <w:bookmarkStart w:id="419" w:name="_Toc120614284"/>
      <w:r/>
      <w:bookmarkStart w:id="420" w:name="_Toc24878535"/>
      <w:r/>
      <w:bookmarkStart w:id="421" w:name="_Toc23828483"/>
      <w:r/>
      <w:bookmarkStart w:id="422" w:name="_Toc513029281"/>
      <w:r/>
      <w:bookmarkStart w:id="423" w:name="_Toc26554103"/>
      <w:r/>
      <w:bookmarkStart w:id="424" w:name="_Toc120614291"/>
      <w:r/>
      <w:bookmarkStart w:id="425" w:name="_Toc22356583"/>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41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426" w:name="_Toc6743"/>
      <w:r>
        <w:rPr>
          <w:rFonts w:hint="eastAsia" w:ascii="宋体" w:hAnsi="宋体" w:eastAsia="宋体" w:cs="宋体"/>
          <w:b/>
          <w:bCs/>
          <w:i/>
          <w:color w:val="auto"/>
          <w:sz w:val="24"/>
          <w:szCs w:val="24"/>
          <w:highlight w:val="none"/>
          <w:u w:val="single"/>
        </w:rPr>
        <w:t xml:space="preserve">二、上一年度的财务状况报告</w:t>
      </w:r>
      <w:bookmarkEnd w:id="42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7"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427"/>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8"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428"/>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29"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429"/>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0"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430"/>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1"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43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2" w:name="_Toc26018"/>
      <w:r>
        <w:rPr>
          <w:rFonts w:hint="eastAsia" w:ascii="宋体" w:hAnsi="宋体" w:eastAsia="宋体" w:cs="宋体"/>
          <w:b/>
          <w:bCs/>
          <w:i/>
          <w:iCs/>
          <w:color w:val="auto"/>
          <w:sz w:val="24"/>
          <w:szCs w:val="24"/>
          <w:highlight w:val="none"/>
          <w:u w:val="single"/>
        </w:rPr>
        <w:t xml:space="preserve">八、特定资格要求的证明文件</w:t>
      </w:r>
      <w:bookmarkEnd w:id="43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433"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433"/>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434" w:name="_Toc625"/>
      <w:r>
        <w:rPr>
          <w:rFonts w:hint="eastAsia" w:ascii="宋体" w:hAnsi="宋体" w:eastAsia="宋体" w:cs="宋体"/>
          <w:b/>
          <w:bCs/>
          <w:i/>
          <w:iCs/>
          <w:color w:val="auto"/>
          <w:sz w:val="24"/>
          <w:szCs w:val="24"/>
          <w:highlight w:val="none"/>
          <w:u w:val="single"/>
        </w:rPr>
        <w:t xml:space="preserve">十、磋商响应函</w:t>
      </w:r>
      <w:bookmarkEnd w:id="434"/>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435"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435"/>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436"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436"/>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437"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437"/>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8"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438"/>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2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439" w:name="_Hlt26955054"/>
      <w:r/>
      <w:bookmarkEnd w:id="439"/>
      <w:r/>
      <w:bookmarkStart w:id="440"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44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2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441" w:name="_Hlt26609391"/>
            <w:r/>
            <w:bookmarkEnd w:id="441"/>
            <w:r/>
            <w:bookmarkStart w:id="442" w:name="_Hlt26580838"/>
            <w:r/>
            <w:bookmarkEnd w:id="442"/>
            <w:r/>
            <w:bookmarkStart w:id="443" w:name="_Hlt26955064"/>
            <w:r/>
            <w:bookmarkEnd w:id="443"/>
            <w:r/>
            <w:bookmarkStart w:id="444" w:name="_Hlt26671372"/>
            <w:r/>
            <w:bookmarkEnd w:id="444"/>
            <w:r/>
            <w:bookmarkStart w:id="445" w:name="_Hlt24879081"/>
            <w:r/>
            <w:bookmarkEnd w:id="445"/>
            <w:r/>
            <w:bookmarkStart w:id="446" w:name="_Hlt26671343"/>
            <w:r/>
            <w:bookmarkEnd w:id="446"/>
            <w:r/>
            <w:bookmarkStart w:id="447" w:name="_Hlt26955056"/>
            <w:r/>
            <w:bookmarkEnd w:id="447"/>
            <w:r/>
            <w:bookmarkStart w:id="448" w:name="_Hlt26782999"/>
            <w:r/>
            <w:bookmarkEnd w:id="448"/>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449"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44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2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450"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45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22"/>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4"/>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bookmarkEnd w:id="418"/>
      <w:r/>
      <w:bookmarkEnd w:id="419"/>
      <w:r/>
      <w:bookmarkEnd w:id="420"/>
      <w:r/>
      <w:bookmarkEnd w:id="421"/>
      <w:r/>
      <w:bookmarkEnd w:id="422"/>
      <w:r/>
      <w:bookmarkEnd w:id="423"/>
      <w:r/>
      <w:bookmarkEnd w:id="424"/>
      <w:r/>
      <w:bookmarkEnd w:id="425"/>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79"/>
        <w:rPr>
          <w:color w:val="auto"/>
          <w:highlight w:val="none"/>
        </w:rPr>
      </w:pPr>
      <w:r>
        <w:rPr>
          <w:color w:val="auto"/>
          <w:highlight w:val="none"/>
        </w:rPr>
      </w:r>
      <w:r/>
    </w:p>
    <w:p>
      <w:pPr>
        <w:jc w:val="center"/>
        <w:rPr>
          <w:rFonts w:hint="eastAsia" w:ascii="黑体" w:hAnsi="黑体" w:eastAsia="黑体" w:cs="仿宋"/>
          <w:bCs/>
          <w:color w:val="auto"/>
          <w:sz w:val="40"/>
          <w:szCs w:val="32"/>
          <w:highlight w:val="none"/>
        </w:rPr>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64"/>
      </w:rPr>
      <w:framePr w:wrap="around" w:vAnchor="text" w:hAnchor="margin" w:xAlign="center" w:y="1"/>
    </w:pPr>
    <w:r>
      <w:fldChar w:fldCharType="begin"/>
    </w:r>
    <w:r>
      <w:rPr>
        <w:rStyle w:val="864"/>
      </w:rPr>
      <w:instrText xml:space="preserve"> PAGE   \* MERGEFORMAT </w:instrText>
    </w:r>
    <w:r>
      <w:fldChar w:fldCharType="separate"/>
    </w:r>
    <w:r>
      <w:rPr>
        <w:rStyle w:val="864"/>
        <w:lang w:val="zh-CN"/>
      </w:rPr>
      <w:t xml:space="preserve">55</w:t>
    </w:r>
    <w:r>
      <w:fldChar w:fldCharType="end"/>
    </w:r>
    <w:r/>
  </w:p>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2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ind w:firstLine="0"/>
                      <w:tabs>
                        <w:tab w:val="clear" w:pos="4153" w:leader="none"/>
                        <w:tab w:val="clear" w:pos="8306" w:leader="none"/>
                      </w:tabs>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64"/>
      </w:rPr>
      <w:framePr w:wrap="around" w:vAnchor="text" w:hAnchor="margin" w:xAlign="center" w:y="1"/>
    </w:pPr>
    <w:r>
      <w:fldChar w:fldCharType="begin"/>
    </w:r>
    <w:r>
      <w:rPr>
        <w:rStyle w:val="864"/>
      </w:rPr>
      <w:instrText xml:space="preserve"> PAGE   \* MERGEFORMAT </w:instrText>
    </w:r>
    <w:r>
      <w:fldChar w:fldCharType="separate"/>
    </w:r>
    <w:r>
      <w:rPr>
        <w:rStyle w:val="864"/>
        <w:lang w:val="zh-CN"/>
      </w:rPr>
      <w:t xml:space="preserve">55</w:t>
    </w:r>
    <w:r>
      <w:fldChar w:fldCharType="end"/>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pPr>
    <w:r>
      <w:rPr>
        <w:rFonts w:hint="eastAsia"/>
        <w:i/>
        <w:color w:val="000000"/>
        <w:lang w:eastAsia="zh-CN"/>
      </w:rPr>
      <w:t xml:space="preserve">鸿桥花园安置小区一二期基础设施改造维修项目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pPr>
    <w:r>
      <w:rPr>
        <w:rFonts w:hint="eastAsia"/>
        <w:i/>
        <w:color w:val="000000"/>
        <w:lang w:eastAsia="zh-CN"/>
      </w:rPr>
      <w:t xml:space="preserve">鸿桥花园安置小区一二期基础设施改造维修项目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left"/>
      <w:tabs>
        <w:tab w:val="left" w:pos="3480" w:leader="none"/>
        <w:tab w:val="clear" w:pos="4153" w:leader="none"/>
        <w:tab w:val="clear" w:pos="8306" w:leader="none"/>
      </w:tabs>
      <w:rPr>
        <w:i/>
        <w:color w:val="000000"/>
      </w:rPr>
    </w:pPr>
    <w:r>
      <w:rPr>
        <w:rFonts w:hint="eastAsia"/>
        <w:i/>
        <w:color w:val="000000"/>
        <w:lang w:eastAsia="zh-CN"/>
      </w:rPr>
      <w:t xml:space="preserve">鸿桥花园安置小区一二期基础设施改造维修项目竞争性磋商文件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left"/>
      <w:tabs>
        <w:tab w:val="left" w:pos="3480" w:leader="none"/>
        <w:tab w:val="clear" w:pos="4153" w:leader="none"/>
        <w:tab w:val="clear" w:pos="8306" w:leader="none"/>
      </w:tabs>
      <w:rPr>
        <w:i/>
        <w:color w:val="000000"/>
      </w:rPr>
    </w:pPr>
    <w:r>
      <w:rPr>
        <w:rFonts w:hint="eastAsia"/>
        <w:i/>
        <w:color w:val="000000"/>
        <w:lang w:eastAsia="zh-CN"/>
      </w:rPr>
      <w:t xml:space="preserve">鸿桥花园安置小区一二期基础设施改造维修项目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name w:val="Heading 1"/>
    <w:basedOn w:val="811"/>
    <w:next w:val="811"/>
    <w:link w:val="881"/>
    <w:uiPriority w:val="0"/>
    <w:qFormat/>
    <w:pPr>
      <w:keepNext/>
      <w:outlineLvl w:val="0"/>
    </w:pPr>
    <w:rPr>
      <w:rFonts w:ascii="楷体_GB2312" w:eastAsia="楷体_GB2312"/>
      <w:sz w:val="28"/>
      <w:szCs w:val="20"/>
    </w:rPr>
  </w:style>
  <w:style w:type="paragraph" w:styleId="813">
    <w:name w:val="Heading 2"/>
    <w:basedOn w:val="811"/>
    <w:next w:val="811"/>
    <w:link w:val="880"/>
    <w:uiPriority w:val="0"/>
    <w:qFormat/>
    <w:pPr>
      <w:jc w:val="center"/>
      <w:keepLines/>
      <w:keepNext/>
      <w:spacing w:before="260" w:after="260" w:line="415" w:lineRule="auto"/>
      <w:outlineLvl w:val="1"/>
    </w:pPr>
    <w:rPr>
      <w:rFonts w:ascii="Arial" w:hAnsi="Arial" w:eastAsia="幼圆"/>
      <w:b/>
      <w:sz w:val="44"/>
      <w:szCs w:val="20"/>
    </w:rPr>
  </w:style>
  <w:style w:type="paragraph" w:styleId="814">
    <w:name w:val="Heading 3"/>
    <w:basedOn w:val="811"/>
    <w:next w:val="811"/>
    <w:link w:val="1043"/>
    <w:uiPriority w:val="0"/>
    <w:qFormat/>
    <w:pPr>
      <w:keepLines/>
      <w:keepNext/>
      <w:spacing w:before="260" w:after="260" w:line="415" w:lineRule="auto"/>
      <w:outlineLvl w:val="2"/>
    </w:pPr>
    <w:rPr>
      <w:b/>
      <w:sz w:val="32"/>
      <w:szCs w:val="20"/>
    </w:rPr>
  </w:style>
  <w:style w:type="paragraph" w:styleId="815">
    <w:name w:val="Heading 4"/>
    <w:basedOn w:val="811"/>
    <w:next w:val="811"/>
    <w:link w:val="1041"/>
    <w:uiPriority w:val="0"/>
    <w:qFormat/>
    <w:pPr>
      <w:keepLines/>
      <w:keepNext/>
      <w:spacing w:before="280" w:after="290" w:line="376" w:lineRule="auto"/>
      <w:outlineLvl w:val="3"/>
    </w:pPr>
    <w:rPr>
      <w:rFonts w:ascii="Arial" w:hAnsi="Arial" w:eastAsia="黑体"/>
      <w:b/>
      <w:bCs/>
      <w:sz w:val="28"/>
      <w:szCs w:val="28"/>
    </w:rPr>
  </w:style>
  <w:style w:type="paragraph" w:styleId="816">
    <w:name w:val="Heading 5"/>
    <w:basedOn w:val="811"/>
    <w:next w:val="811"/>
    <w:link w:val="1038"/>
    <w:uiPriority w:val="0"/>
    <w:qFormat/>
    <w:pPr>
      <w:keepNext/>
      <w:outlineLvl w:val="4"/>
    </w:pPr>
    <w:rPr>
      <w:rFonts w:ascii="宋体"/>
      <w:b/>
      <w:bCs/>
    </w:rPr>
  </w:style>
  <w:style w:type="paragraph" w:styleId="817">
    <w:name w:val="Heading 6"/>
    <w:basedOn w:val="811"/>
    <w:next w:val="811"/>
    <w:link w:val="887"/>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11"/>
    <w:next w:val="811"/>
    <w:link w:val="888"/>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889"/>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11"/>
    <w:next w:val="811"/>
    <w:link w:val="890"/>
    <w:uiPriority w:val="9"/>
    <w:unhideWhenUsed/>
    <w:qFormat/>
    <w:pPr>
      <w:keepLines/>
      <w:keepNext/>
      <w:spacing w:before="320" w:after="200"/>
      <w:outlineLvl w:val="8"/>
    </w:pPr>
    <w:rPr>
      <w:rFonts w:ascii="Arial" w:hAnsi="Arial" w:eastAsia="Arial" w:cs="Arial"/>
      <w:i/>
      <w:iCs/>
      <w:sz w:val="21"/>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0"/>
    <w:qFormat/>
    <w:pPr>
      <w:ind w:left="1200"/>
    </w:pPr>
  </w:style>
  <w:style w:type="paragraph" w:styleId="824">
    <w:name w:val="Normal Indent"/>
    <w:basedOn w:val="811"/>
    <w:next w:val="811"/>
    <w:uiPriority w:val="0"/>
    <w:qFormat/>
    <w:pPr>
      <w:ind w:firstLine="420"/>
    </w:pPr>
    <w:rPr>
      <w:szCs w:val="20"/>
    </w:rPr>
  </w:style>
  <w:style w:type="paragraph" w:styleId="825">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Document Map"/>
    <w:basedOn w:val="811"/>
    <w:link w:val="1044"/>
    <w:uiPriority w:val="0"/>
    <w:qFormat/>
    <w:pPr>
      <w:shd w:val="clear" w:color="auto" w:fill="000080"/>
    </w:pPr>
  </w:style>
  <w:style w:type="paragraph" w:styleId="827">
    <w:name w:val="annotation text"/>
    <w:basedOn w:val="811"/>
    <w:link w:val="1036"/>
    <w:uiPriority w:val="0"/>
    <w:qFormat/>
    <w:pPr>
      <w:jc w:val="left"/>
    </w:pPr>
  </w:style>
  <w:style w:type="paragraph" w:styleId="828">
    <w:name w:val="Body Text 3"/>
    <w:basedOn w:val="811"/>
    <w:link w:val="1052"/>
    <w:uiPriority w:val="0"/>
    <w:qFormat/>
    <w:rPr>
      <w:rFonts w:ascii="仿宋_GB2312" w:eastAsia="仿宋_GB2312"/>
      <w:sz w:val="32"/>
      <w:szCs w:val="20"/>
    </w:rPr>
  </w:style>
  <w:style w:type="paragraph" w:styleId="829">
    <w:name w:val="Body Text"/>
    <w:basedOn w:val="811"/>
    <w:next w:val="811"/>
    <w:link w:val="1054"/>
    <w:uiPriority w:val="0"/>
    <w:qFormat/>
    <w:rPr>
      <w:rFonts w:ascii="楷体_GB2312" w:eastAsia="楷体_GB2312"/>
      <w:sz w:val="28"/>
      <w:szCs w:val="20"/>
    </w:rPr>
  </w:style>
  <w:style w:type="paragraph" w:styleId="830">
    <w:name w:val="Body Text Indent"/>
    <w:basedOn w:val="811"/>
    <w:next w:val="831"/>
    <w:link w:val="1048"/>
    <w:uiPriority w:val="0"/>
    <w:qFormat/>
    <w:pPr>
      <w:ind w:firstLine="645"/>
    </w:pPr>
    <w:rPr>
      <w:rFonts w:ascii="楷体_GB2312" w:eastAsia="楷体_GB2312"/>
      <w:sz w:val="32"/>
      <w:szCs w:val="20"/>
    </w:rPr>
  </w:style>
  <w:style w:type="paragraph" w:styleId="831">
    <w:name w:val="envelope return"/>
    <w:basedOn w:val="811"/>
    <w:uiPriority w:val="99"/>
    <w:unhideWhenUsed/>
    <w:qFormat/>
    <w:rPr>
      <w:rFonts w:ascii="Arial" w:hAnsi="Arial" w:cs="Arial"/>
    </w:rPr>
  </w:style>
  <w:style w:type="paragraph" w:styleId="832">
    <w:name w:val="Block Text"/>
    <w:basedOn w:val="811"/>
    <w:next w:val="811"/>
    <w:uiPriority w:val="0"/>
    <w:unhideWhenUsed/>
    <w:qFormat/>
    <w:pPr>
      <w:ind w:left="420" w:right="33"/>
    </w:pPr>
    <w:rPr>
      <w:sz w:val="24"/>
    </w:rPr>
  </w:style>
  <w:style w:type="paragraph" w:styleId="833">
    <w:name w:val="index 4"/>
    <w:basedOn w:val="811"/>
    <w:next w:val="811"/>
    <w:uiPriority w:val="0"/>
    <w:semiHidden/>
    <w:qFormat/>
    <w:pPr>
      <w:ind w:left="600" w:firstLine="480"/>
      <w:spacing w:line="288" w:lineRule="auto"/>
      <w:tabs>
        <w:tab w:val="left" w:pos="1440" w:leader="none"/>
        <w:tab w:val="right" w:pos="8505" w:leader="dot"/>
      </w:tabs>
    </w:pPr>
  </w:style>
  <w:style w:type="paragraph" w:styleId="834">
    <w:name w:val="toc 5"/>
    <w:basedOn w:val="811"/>
    <w:next w:val="811"/>
    <w:uiPriority w:val="0"/>
    <w:qFormat/>
    <w:pPr>
      <w:ind w:left="800"/>
    </w:pPr>
  </w:style>
  <w:style w:type="paragraph" w:styleId="835">
    <w:name w:val="toc 3"/>
    <w:basedOn w:val="811"/>
    <w:next w:val="811"/>
    <w:uiPriority w:val="0"/>
    <w:qFormat/>
    <w:pPr>
      <w:ind w:left="539"/>
      <w:jc w:val="left"/>
      <w:spacing w:line="240" w:lineRule="exact"/>
      <w:tabs>
        <w:tab w:val="right" w:pos="9440" w:leader="dot"/>
      </w:tabs>
    </w:pPr>
    <w:rPr>
      <w:rFonts w:ascii="黑体" w:eastAsia="黑体"/>
      <w:bCs/>
      <w:iCs/>
      <w:sz w:val="18"/>
      <w:szCs w:val="32"/>
    </w:rPr>
  </w:style>
  <w:style w:type="paragraph" w:styleId="836">
    <w:name w:val="Plain Text"/>
    <w:basedOn w:val="811"/>
    <w:link w:val="1055"/>
    <w:uiPriority w:val="0"/>
    <w:qFormat/>
    <w:rPr>
      <w:rFonts w:ascii="宋体"/>
      <w:szCs w:val="20"/>
    </w:rPr>
  </w:style>
  <w:style w:type="paragraph" w:styleId="837">
    <w:name w:val="toc 8"/>
    <w:basedOn w:val="811"/>
    <w:next w:val="811"/>
    <w:uiPriority w:val="0"/>
    <w:qFormat/>
    <w:pPr>
      <w:ind w:left="1400"/>
    </w:pPr>
  </w:style>
  <w:style w:type="paragraph" w:styleId="838">
    <w:name w:val="Date"/>
    <w:basedOn w:val="811"/>
    <w:next w:val="811"/>
    <w:link w:val="1050"/>
    <w:uiPriority w:val="0"/>
    <w:qFormat/>
    <w:rPr>
      <w:sz w:val="24"/>
      <w:szCs w:val="20"/>
    </w:rPr>
  </w:style>
  <w:style w:type="paragraph" w:styleId="839">
    <w:name w:val="Body Text Indent 2"/>
    <w:basedOn w:val="811"/>
    <w:link w:val="1049"/>
    <w:uiPriority w:val="0"/>
    <w:qFormat/>
    <w:pPr>
      <w:ind w:firstLine="200"/>
    </w:pPr>
    <w:rPr>
      <w:rFonts w:ascii="宋体"/>
      <w:sz w:val="28"/>
    </w:rPr>
  </w:style>
  <w:style w:type="paragraph" w:styleId="840">
    <w:name w:val="endnote text"/>
    <w:basedOn w:val="811"/>
    <w:link w:val="1027"/>
    <w:uiPriority w:val="99"/>
    <w:semiHidden/>
    <w:unhideWhenUsed/>
    <w:qFormat/>
    <w:pPr>
      <w:spacing w:after="0" w:line="240" w:lineRule="auto"/>
    </w:pPr>
    <w:rPr>
      <w:sz w:val="20"/>
    </w:rPr>
  </w:style>
  <w:style w:type="paragraph" w:styleId="841">
    <w:name w:val="Balloon Text"/>
    <w:basedOn w:val="811"/>
    <w:link w:val="1040"/>
    <w:uiPriority w:val="0"/>
    <w:qFormat/>
    <w:rPr>
      <w:sz w:val="18"/>
      <w:szCs w:val="18"/>
    </w:rPr>
  </w:style>
  <w:style w:type="paragraph" w:styleId="842">
    <w:name w:val="Footer"/>
    <w:basedOn w:val="811"/>
    <w:link w:val="1039"/>
    <w:uiPriority w:val="0"/>
    <w:qFormat/>
    <w:pPr>
      <w:jc w:val="left"/>
      <w:tabs>
        <w:tab w:val="center" w:pos="4153" w:leader="none"/>
        <w:tab w:val="right" w:pos="8306" w:leader="none"/>
      </w:tabs>
    </w:pPr>
    <w:rPr>
      <w:sz w:val="18"/>
      <w:szCs w:val="20"/>
    </w:rPr>
  </w:style>
  <w:style w:type="paragraph" w:styleId="843">
    <w:name w:val="Header"/>
    <w:basedOn w:val="811"/>
    <w:link w:val="1053"/>
    <w:uiPriority w:val="99"/>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11"/>
    <w:next w:val="811"/>
    <w:uiPriority w:val="39"/>
    <w:qFormat/>
    <w:pPr>
      <w:jc w:val="left"/>
      <w:spacing w:before="120" w:after="120" w:line="300" w:lineRule="exact"/>
      <w:tabs>
        <w:tab w:val="right" w:pos="9440" w:leader="dot"/>
      </w:tabs>
    </w:pPr>
    <w:rPr>
      <w:rFonts w:ascii="黑体" w:eastAsia="黑体"/>
      <w:b/>
      <w:caps/>
      <w:sz w:val="18"/>
      <w:szCs w:val="28"/>
    </w:rPr>
  </w:style>
  <w:style w:type="paragraph" w:styleId="845">
    <w:name w:val="toc 4"/>
    <w:basedOn w:val="811"/>
    <w:next w:val="811"/>
    <w:uiPriority w:val="0"/>
    <w:qFormat/>
    <w:pPr>
      <w:ind w:left="600"/>
    </w:pPr>
  </w:style>
  <w:style w:type="paragraph" w:styleId="846">
    <w:name w:val="Subtitle"/>
    <w:basedOn w:val="811"/>
    <w:next w:val="811"/>
    <w:link w:val="1045"/>
    <w:uiPriority w:val="0"/>
    <w:qFormat/>
    <w:pPr>
      <w:jc w:val="center"/>
      <w:spacing w:before="240" w:after="60" w:line="312" w:lineRule="auto"/>
      <w:outlineLvl w:val="1"/>
    </w:pPr>
    <w:rPr>
      <w:rFonts w:ascii="Cambria" w:hAnsi="Cambria"/>
      <w:b/>
      <w:bCs/>
      <w:sz w:val="32"/>
      <w:szCs w:val="32"/>
    </w:rPr>
  </w:style>
  <w:style w:type="paragraph" w:styleId="847">
    <w:name w:val="footnote text"/>
    <w:basedOn w:val="811"/>
    <w:link w:val="1026"/>
    <w:uiPriority w:val="99"/>
    <w:semiHidden/>
    <w:unhideWhenUsed/>
    <w:qFormat/>
    <w:pPr>
      <w:spacing w:after="40" w:line="240" w:lineRule="auto"/>
    </w:pPr>
    <w:rPr>
      <w:sz w:val="18"/>
    </w:rPr>
  </w:style>
  <w:style w:type="paragraph" w:styleId="848">
    <w:name w:val="toc 6"/>
    <w:basedOn w:val="811"/>
    <w:next w:val="811"/>
    <w:uiPriority w:val="0"/>
    <w:qFormat/>
    <w:pPr>
      <w:ind w:left="1000"/>
    </w:pPr>
  </w:style>
  <w:style w:type="paragraph" w:styleId="849">
    <w:name w:val="Body Text Indent 3"/>
    <w:basedOn w:val="811"/>
    <w:link w:val="1047"/>
    <w:uiPriority w:val="0"/>
    <w:qFormat/>
    <w:pPr>
      <w:ind w:firstLine="523"/>
    </w:pPr>
    <w:rPr>
      <w:rFonts w:ascii="仿宋_GB2312" w:eastAsia="仿宋_GB2312"/>
      <w:sz w:val="24"/>
    </w:rPr>
  </w:style>
  <w:style w:type="paragraph" w:styleId="850">
    <w:name w:val="table of figures"/>
    <w:basedOn w:val="811"/>
    <w:next w:val="811"/>
    <w:uiPriority w:val="99"/>
    <w:unhideWhenUsed/>
    <w:qFormat/>
    <w:pPr>
      <w:spacing w:after="0" w:afterAutospacing="0"/>
    </w:pPr>
  </w:style>
  <w:style w:type="paragraph" w:styleId="851">
    <w:name w:val="toc 2"/>
    <w:basedOn w:val="811"/>
    <w:next w:val="811"/>
    <w:uiPriority w:val="39"/>
    <w:qFormat/>
    <w:pPr>
      <w:jc w:val="left"/>
      <w:spacing w:line="260" w:lineRule="exact"/>
      <w:tabs>
        <w:tab w:val="right" w:pos="9440" w:leader="dot"/>
      </w:tabs>
    </w:pPr>
    <w:rPr>
      <w:rFonts w:ascii="黑体" w:eastAsia="黑体"/>
      <w:b/>
      <w:bCs/>
      <w:smallCaps/>
      <w:sz w:val="18"/>
      <w:szCs w:val="44"/>
    </w:rPr>
  </w:style>
  <w:style w:type="paragraph" w:styleId="852">
    <w:name w:val="toc 9"/>
    <w:basedOn w:val="811"/>
    <w:next w:val="811"/>
    <w:uiPriority w:val="0"/>
    <w:qFormat/>
    <w:pPr>
      <w:ind w:left="1600"/>
    </w:pPr>
  </w:style>
  <w:style w:type="paragraph" w:styleId="853">
    <w:name w:val="Body Text 2"/>
    <w:basedOn w:val="811"/>
    <w:link w:val="1042"/>
    <w:uiPriority w:val="0"/>
    <w:qFormat/>
    <w:pPr>
      <w:jc w:val="center"/>
    </w:pPr>
    <w:rPr>
      <w:rFonts w:ascii="仿宋_GB2312" w:eastAsia="仿宋_GB2312"/>
      <w:sz w:val="44"/>
    </w:rPr>
  </w:style>
  <w:style w:type="paragraph" w:styleId="854">
    <w:name w:val="HTML Preformatted"/>
    <w:basedOn w:val="811"/>
    <w:link w:val="10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5">
    <w:name w:val="Normal (Web)"/>
    <w:basedOn w:val="811"/>
    <w:uiPriority w:val="99"/>
    <w:qFormat/>
    <w:pPr>
      <w:jc w:val="left"/>
      <w:spacing w:before="100" w:beforeAutospacing="1" w:after="100" w:afterAutospacing="1"/>
      <w:widowControl/>
    </w:pPr>
    <w:rPr>
      <w:rFonts w:ascii="宋体" w:cs="宋体"/>
      <w:sz w:val="24"/>
    </w:rPr>
  </w:style>
  <w:style w:type="paragraph" w:styleId="856">
    <w:name w:val="index 1"/>
    <w:basedOn w:val="811"/>
    <w:next w:val="811"/>
    <w:uiPriority w:val="0"/>
    <w:qFormat/>
    <w:rPr>
      <w:rFonts w:ascii="宋体"/>
      <w:szCs w:val="18"/>
    </w:rPr>
  </w:style>
  <w:style w:type="paragraph" w:styleId="857">
    <w:name w:val="Title"/>
    <w:basedOn w:val="811"/>
    <w:next w:val="811"/>
    <w:link w:val="892"/>
    <w:uiPriority w:val="10"/>
    <w:qFormat/>
    <w:pPr>
      <w:contextualSpacing/>
      <w:spacing w:before="300" w:after="200"/>
    </w:pPr>
    <w:rPr>
      <w:sz w:val="48"/>
      <w:szCs w:val="48"/>
    </w:rPr>
  </w:style>
  <w:style w:type="paragraph" w:styleId="858">
    <w:name w:val="annotation subject"/>
    <w:basedOn w:val="827"/>
    <w:next w:val="827"/>
    <w:link w:val="1035"/>
    <w:uiPriority w:val="0"/>
    <w:qFormat/>
    <w:rPr>
      <w:b/>
      <w:bCs/>
    </w:rPr>
  </w:style>
  <w:style w:type="paragraph" w:styleId="859">
    <w:name w:val="Body Text First Indent"/>
    <w:basedOn w:val="829"/>
    <w:uiPriority w:val="0"/>
    <w:qFormat/>
    <w:pPr>
      <w:ind w:firstLine="420"/>
      <w:spacing w:after="120"/>
    </w:pPr>
    <w:rPr>
      <w:rFonts w:ascii="Times New Roman" w:hAnsi="Times New Roman" w:eastAsia="宋体"/>
      <w:spacing w:val="0"/>
      <w:sz w:val="21"/>
      <w:szCs w:val="24"/>
    </w:rPr>
  </w:style>
  <w:style w:type="paragraph" w:styleId="860">
    <w:name w:val="Body Text First Indent 2"/>
    <w:basedOn w:val="830"/>
    <w:uiPriority w:val="99"/>
    <w:unhideWhenUsed/>
    <w:qFormat/>
    <w:pPr>
      <w:ind w:firstLine="420"/>
    </w:pPr>
  </w:style>
  <w:style w:type="table" w:styleId="861">
    <w:name w:val="Table Grid"/>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uiPriority w:val="0"/>
    <w:qFormat/>
    <w:rPr>
      <w:b/>
      <w:bCs/>
    </w:rPr>
  </w:style>
  <w:style w:type="character" w:styleId="863">
    <w:name w:val="endnote reference"/>
    <w:basedOn w:val="821"/>
    <w:uiPriority w:val="99"/>
    <w:semiHidden/>
    <w:unhideWhenUsed/>
    <w:qFormat/>
    <w:rPr>
      <w:vertAlign w:val="superscript"/>
    </w:rPr>
  </w:style>
  <w:style w:type="character" w:styleId="864">
    <w:name w:val="page number"/>
    <w:basedOn w:val="821"/>
    <w:uiPriority w:val="0"/>
    <w:qFormat/>
  </w:style>
  <w:style w:type="character" w:styleId="865">
    <w:name w:val="FollowedHyperlink"/>
    <w:basedOn w:val="821"/>
    <w:uiPriority w:val="99"/>
    <w:qFormat/>
    <w:rPr>
      <w:color w:val="800080"/>
      <w:u w:val="none"/>
    </w:rPr>
  </w:style>
  <w:style w:type="character" w:styleId="866">
    <w:name w:val="Emphasis"/>
    <w:basedOn w:val="821"/>
    <w:uiPriority w:val="20"/>
    <w:qFormat/>
    <w:rPr>
      <w:b/>
      <w:bCs/>
    </w:rPr>
  </w:style>
  <w:style w:type="character" w:styleId="867">
    <w:name w:val="HTML Definition"/>
    <w:basedOn w:val="821"/>
    <w:uiPriority w:val="99"/>
    <w:semiHidden/>
    <w:unhideWhenUsed/>
    <w:qFormat/>
  </w:style>
  <w:style w:type="character" w:styleId="868">
    <w:name w:val="HTML Typewriter"/>
    <w:basedOn w:val="821"/>
    <w:uiPriority w:val="99"/>
    <w:semiHidden/>
    <w:unhideWhenUsed/>
    <w:qFormat/>
    <w:rPr>
      <w:rFonts w:hint="default" w:ascii="monospace" w:hAnsi="monospace" w:eastAsia="monospace" w:cs="monospace"/>
      <w:sz w:val="20"/>
    </w:rPr>
  </w:style>
  <w:style w:type="character" w:styleId="869">
    <w:name w:val="HTML Acronym"/>
    <w:basedOn w:val="821"/>
    <w:uiPriority w:val="99"/>
    <w:semiHidden/>
    <w:unhideWhenUsed/>
    <w:qFormat/>
  </w:style>
  <w:style w:type="character" w:styleId="870">
    <w:name w:val="HTML Variable"/>
    <w:basedOn w:val="821"/>
    <w:uiPriority w:val="99"/>
    <w:semiHidden/>
    <w:unhideWhenUsed/>
    <w:qFormat/>
  </w:style>
  <w:style w:type="character" w:styleId="871">
    <w:name w:val="Hyperlink"/>
    <w:basedOn w:val="821"/>
    <w:uiPriority w:val="99"/>
    <w:qFormat/>
    <w:rPr>
      <w:color w:val="0000ff"/>
      <w:u w:val="none"/>
    </w:rPr>
  </w:style>
  <w:style w:type="character" w:styleId="872">
    <w:name w:val="HTML Code"/>
    <w:basedOn w:val="821"/>
    <w:uiPriority w:val="99"/>
    <w:semiHidden/>
    <w:unhideWhenUsed/>
    <w:qFormat/>
    <w:rPr>
      <w:rFonts w:hint="default" w:ascii="monospace" w:hAnsi="monospace" w:eastAsia="monospace" w:cs="monospace"/>
      <w:sz w:val="20"/>
    </w:rPr>
  </w:style>
  <w:style w:type="character" w:styleId="873">
    <w:name w:val="annotation reference"/>
    <w:uiPriority w:val="0"/>
    <w:qFormat/>
    <w:rPr>
      <w:sz w:val="21"/>
      <w:szCs w:val="21"/>
    </w:rPr>
  </w:style>
  <w:style w:type="character" w:styleId="874">
    <w:name w:val="HTML Cite"/>
    <w:basedOn w:val="821"/>
    <w:uiPriority w:val="99"/>
    <w:semiHidden/>
    <w:unhideWhenUsed/>
    <w:qFormat/>
  </w:style>
  <w:style w:type="character" w:styleId="875">
    <w:name w:val="footnote reference"/>
    <w:basedOn w:val="821"/>
    <w:uiPriority w:val="99"/>
    <w:unhideWhenUsed/>
    <w:qFormat/>
    <w:rPr>
      <w:vertAlign w:val="superscript"/>
    </w:rPr>
  </w:style>
  <w:style w:type="character" w:styleId="876">
    <w:name w:val="HTML Keyboard"/>
    <w:basedOn w:val="821"/>
    <w:uiPriority w:val="99"/>
    <w:semiHidden/>
    <w:unhideWhenUsed/>
    <w:qFormat/>
    <w:rPr>
      <w:rFonts w:hint="default" w:ascii="monospace" w:hAnsi="monospace" w:eastAsia="monospace" w:cs="monospace"/>
      <w:sz w:val="20"/>
    </w:rPr>
  </w:style>
  <w:style w:type="character" w:styleId="877">
    <w:name w:val="HTML Sample"/>
    <w:basedOn w:val="821"/>
    <w:uiPriority w:val="99"/>
    <w:semiHidden/>
    <w:unhideWhenUsed/>
    <w:qFormat/>
    <w:rPr>
      <w:rFonts w:ascii="monospace" w:hAnsi="monospace" w:eastAsia="monospace" w:cs="monospace"/>
      <w:u w:val="none"/>
      <w:shd w:val="clear" w:color="auto" w:fill="ffffff"/>
    </w:rPr>
  </w:style>
  <w:style w:type="paragraph" w:styleId="878" w:customStyle="1">
    <w:name w:val="首行缩进"/>
    <w:basedOn w:val="811"/>
    <w:uiPriority w:val="0"/>
    <w:qFormat/>
    <w:pPr>
      <w:ind w:firstLine="480"/>
    </w:pPr>
    <w:rPr>
      <w:lang w:val="zh-CN"/>
    </w:rPr>
  </w:style>
  <w:style w:type="paragraph" w:styleId="879"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80" w:customStyle="1">
    <w:name w:val="标题 2 Char"/>
    <w:basedOn w:val="821"/>
    <w:link w:val="813"/>
    <w:uiPriority w:val="0"/>
    <w:qFormat/>
    <w:rPr>
      <w:rFonts w:ascii="Arial" w:hAnsi="Arial" w:eastAsia="幼圆"/>
      <w:b/>
      <w:sz w:val="44"/>
    </w:rPr>
  </w:style>
  <w:style w:type="character" w:styleId="881" w:customStyle="1">
    <w:name w:val="标题 1 Char"/>
    <w:basedOn w:val="821"/>
    <w:link w:val="812"/>
    <w:uiPriority w:val="0"/>
    <w:qFormat/>
    <w:rPr>
      <w:rFonts w:ascii="楷体_GB2312" w:eastAsia="楷体_GB2312"/>
      <w:sz w:val="28"/>
    </w:rPr>
  </w:style>
  <w:style w:type="character" w:styleId="882" w:customStyle="1">
    <w:name w:val="Heading 1 Char"/>
    <w:basedOn w:val="821"/>
    <w:uiPriority w:val="9"/>
    <w:qFormat/>
    <w:rPr>
      <w:rFonts w:ascii="Arial" w:hAnsi="Arial" w:eastAsia="Arial" w:cs="Arial"/>
      <w:sz w:val="40"/>
      <w:szCs w:val="40"/>
    </w:rPr>
  </w:style>
  <w:style w:type="character" w:styleId="883" w:customStyle="1">
    <w:name w:val="Heading 2 Char"/>
    <w:basedOn w:val="821"/>
    <w:uiPriority w:val="9"/>
    <w:qFormat/>
    <w:rPr>
      <w:rFonts w:ascii="Arial" w:hAnsi="Arial" w:eastAsia="Arial" w:cs="Arial"/>
      <w:sz w:val="34"/>
    </w:rPr>
  </w:style>
  <w:style w:type="character" w:styleId="884" w:customStyle="1">
    <w:name w:val="Heading 3 Char"/>
    <w:basedOn w:val="821"/>
    <w:uiPriority w:val="9"/>
    <w:qFormat/>
    <w:rPr>
      <w:rFonts w:ascii="Arial" w:hAnsi="Arial" w:eastAsia="Arial" w:cs="Arial"/>
      <w:sz w:val="30"/>
      <w:szCs w:val="30"/>
    </w:rPr>
  </w:style>
  <w:style w:type="character" w:styleId="885" w:customStyle="1">
    <w:name w:val="Heading 4 Char"/>
    <w:basedOn w:val="821"/>
    <w:uiPriority w:val="9"/>
    <w:qFormat/>
    <w:rPr>
      <w:rFonts w:ascii="Arial" w:hAnsi="Arial" w:eastAsia="Arial" w:cs="Arial"/>
      <w:b/>
      <w:bCs/>
      <w:sz w:val="26"/>
      <w:szCs w:val="26"/>
    </w:rPr>
  </w:style>
  <w:style w:type="character" w:styleId="886" w:customStyle="1">
    <w:name w:val="Heading 5 Char"/>
    <w:basedOn w:val="821"/>
    <w:uiPriority w:val="9"/>
    <w:qFormat/>
    <w:rPr>
      <w:rFonts w:ascii="Arial" w:hAnsi="Arial" w:eastAsia="Arial" w:cs="Arial"/>
      <w:b/>
      <w:bCs/>
      <w:sz w:val="24"/>
      <w:szCs w:val="24"/>
    </w:rPr>
  </w:style>
  <w:style w:type="character" w:styleId="887" w:customStyle="1">
    <w:name w:val="Heading 6 Char"/>
    <w:basedOn w:val="821"/>
    <w:link w:val="817"/>
    <w:uiPriority w:val="9"/>
    <w:qFormat/>
    <w:rPr>
      <w:rFonts w:ascii="Arial" w:hAnsi="Arial" w:eastAsia="Arial" w:cs="Arial"/>
      <w:b/>
      <w:bCs/>
      <w:sz w:val="22"/>
      <w:szCs w:val="22"/>
    </w:rPr>
  </w:style>
  <w:style w:type="character" w:styleId="888" w:customStyle="1">
    <w:name w:val="Heading 7 Char"/>
    <w:basedOn w:val="821"/>
    <w:link w:val="818"/>
    <w:uiPriority w:val="9"/>
    <w:qFormat/>
    <w:rPr>
      <w:rFonts w:ascii="Arial" w:hAnsi="Arial" w:eastAsia="Arial" w:cs="Arial"/>
      <w:b/>
      <w:bCs/>
      <w:i/>
      <w:iCs/>
      <w:sz w:val="22"/>
      <w:szCs w:val="22"/>
    </w:rPr>
  </w:style>
  <w:style w:type="character" w:styleId="889" w:customStyle="1">
    <w:name w:val="Heading 8 Char"/>
    <w:basedOn w:val="821"/>
    <w:link w:val="819"/>
    <w:uiPriority w:val="9"/>
    <w:qFormat/>
    <w:rPr>
      <w:rFonts w:ascii="Arial" w:hAnsi="Arial" w:eastAsia="Arial" w:cs="Arial"/>
      <w:i/>
      <w:iCs/>
      <w:sz w:val="22"/>
      <w:szCs w:val="22"/>
    </w:rPr>
  </w:style>
  <w:style w:type="character" w:styleId="890" w:customStyle="1">
    <w:name w:val="Heading 9 Char"/>
    <w:basedOn w:val="821"/>
    <w:link w:val="820"/>
    <w:uiPriority w:val="9"/>
    <w:qFormat/>
    <w:rPr>
      <w:rFonts w:ascii="Arial" w:hAnsi="Arial" w:eastAsia="Arial" w:cs="Arial"/>
      <w:i/>
      <w:iCs/>
      <w:sz w:val="21"/>
      <w:szCs w:val="21"/>
    </w:rPr>
  </w:style>
  <w:style w:type="paragraph" w:styleId="891">
    <w:name w:val="No Spacing"/>
    <w:uiPriority w:val="1"/>
    <w:qFormat/>
    <w:pPr>
      <w:spacing w:before="0" w:after="0" w:line="240" w:lineRule="auto"/>
    </w:pPr>
    <w:rPr>
      <w:rFonts w:hint="default" w:ascii="Times New Roman" w:hAnsi="Times New Roman" w:eastAsia="宋体" w:cs="Times New Roman"/>
    </w:rPr>
  </w:style>
  <w:style w:type="character" w:styleId="892" w:customStyle="1">
    <w:name w:val="Title Char"/>
    <w:basedOn w:val="821"/>
    <w:link w:val="857"/>
    <w:uiPriority w:val="10"/>
    <w:qFormat/>
    <w:rPr>
      <w:sz w:val="48"/>
      <w:szCs w:val="48"/>
    </w:rPr>
  </w:style>
  <w:style w:type="character" w:styleId="893" w:customStyle="1">
    <w:name w:val="Subtitle Char"/>
    <w:basedOn w:val="821"/>
    <w:uiPriority w:val="11"/>
    <w:qFormat/>
    <w:rPr>
      <w:sz w:val="24"/>
      <w:szCs w:val="24"/>
    </w:rPr>
  </w:style>
  <w:style w:type="paragraph" w:styleId="894">
    <w:name w:val="Quote"/>
    <w:basedOn w:val="811"/>
    <w:next w:val="811"/>
    <w:link w:val="895"/>
    <w:uiPriority w:val="29"/>
    <w:qFormat/>
    <w:pPr>
      <w:ind w:left="720" w:right="720"/>
    </w:pPr>
    <w:rPr>
      <w:i/>
    </w:rPr>
  </w:style>
  <w:style w:type="character" w:styleId="895" w:customStyle="1">
    <w:name w:val="Quote Char"/>
    <w:link w:val="894"/>
    <w:uiPriority w:val="29"/>
    <w:qFormat/>
    <w:rPr>
      <w:i/>
    </w:rPr>
  </w:style>
  <w:style w:type="paragraph" w:styleId="896">
    <w:name w:val="Intense Quote"/>
    <w:basedOn w:val="811"/>
    <w:next w:val="811"/>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customStyle="1">
    <w:name w:val="Intense Quote Char"/>
    <w:link w:val="896"/>
    <w:uiPriority w:val="30"/>
    <w:qFormat/>
    <w:rPr>
      <w:i/>
    </w:rPr>
  </w:style>
  <w:style w:type="character" w:styleId="898" w:customStyle="1">
    <w:name w:val="Header Char"/>
    <w:basedOn w:val="821"/>
    <w:uiPriority w:val="99"/>
    <w:qFormat/>
  </w:style>
  <w:style w:type="character" w:styleId="899" w:customStyle="1">
    <w:name w:val="Footer Char"/>
    <w:basedOn w:val="821"/>
    <w:uiPriority w:val="99"/>
    <w:qFormat/>
  </w:style>
  <w:style w:type="character" w:styleId="900" w:customStyle="1">
    <w:name w:val="Caption Char"/>
    <w:uiPriority w:val="99"/>
    <w:qFormat/>
  </w:style>
  <w:style w:type="table" w:styleId="901" w:customStyle="1">
    <w:name w:val="Table Grid Light"/>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2"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3"/>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customStyle="1">
    <w:name w:val="Plain Table 4"/>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customStyle="1">
    <w:name w:val="Plain Table 5"/>
    <w:basedOn w:val="8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7" w:customStyle="1">
    <w:name w:val="Grid Table 1 Light"/>
    <w:basedOn w:val="8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2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6" w:customStyle="1">
    <w:name w:val="Grid Table 2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2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2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2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Grid Table 2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1"/>
    <w:basedOn w:val="82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basedOn w:val="82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basedOn w:val="82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basedOn w:val="82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basedOn w:val="82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basedOn w:val="82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w:basedOn w:val="8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Grid Table 4 - Accent 1"/>
    <w:basedOn w:val="82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0" w:customStyle="1">
    <w:name w:val="Grid Table 4 - Accent 2"/>
    <w:basedOn w:val="82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1" w:customStyle="1">
    <w:name w:val="Grid Table 4 - Accent 3"/>
    <w:basedOn w:val="82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2" w:customStyle="1">
    <w:name w:val="Grid Table 4 - Accent 4"/>
    <w:basedOn w:val="82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3" w:customStyle="1">
    <w:name w:val="Grid Table 4 - Accent 5"/>
    <w:basedOn w:val="82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4" w:customStyle="1">
    <w:name w:val="Grid Table 4 - Accent 6"/>
    <w:basedOn w:val="82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5"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6" w:customStyle="1">
    <w:name w:val="Grid Table 5 Dark- Accent 1"/>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7" w:customStyle="1">
    <w:name w:val="Grid Table 5 Dark - Accent 2"/>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8" w:customStyle="1">
    <w:name w:val="Grid Table 5 Dark - Accent 3"/>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9" w:customStyle="1">
    <w:name w:val="Grid Table 5 Dark- Accent 4"/>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0" w:customStyle="1">
    <w:name w:val="Grid Table 5 Dark - Accent 5"/>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1" w:customStyle="1">
    <w:name w:val="Grid Table 5 Dark - Accent 6"/>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2"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6 Colorful - Accent 1"/>
    <w:basedOn w:val="82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4" w:customStyle="1">
    <w:name w:val="Grid Table 6 Colorful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5" w:customStyle="1">
    <w:name w:val="Grid Table 6 Colorful - Accent 3"/>
    <w:basedOn w:val="82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6" w:customStyle="1">
    <w:name w:val="Grid Table 6 Colorful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7" w:customStyle="1">
    <w:name w:val="Grid Table 6 Colorful - Accent 5"/>
    <w:basedOn w:val="82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8" w:customStyle="1">
    <w:name w:val="Grid Table 6 Colorful - Accent 6"/>
    <w:basedOn w:val="82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Grid Table 7 Colorful - Accent 1"/>
    <w:basedOn w:val="82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1" w:customStyle="1">
    <w:name w:val="Grid Table 7 Colorful - Accent 2"/>
    <w:basedOn w:val="82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7 Colorful - Accent 3"/>
    <w:basedOn w:val="82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7 Colorful - Accent 4"/>
    <w:basedOn w:val="82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7 Colorful - Accent 5"/>
    <w:basedOn w:val="82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5" w:customStyle="1">
    <w:name w:val="Grid Table 7 Colorful - Accent 6"/>
    <w:basedOn w:val="82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6"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customStyle="1">
    <w:name w:val="List Table 1 Light - Accent 1"/>
    <w:basedOn w:val="82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1 Light - Accent 2"/>
    <w:basedOn w:val="82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9" w:customStyle="1">
    <w:name w:val="List Table 1 Light - Accent 3"/>
    <w:basedOn w:val="82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0" w:customStyle="1">
    <w:name w:val="List Table 1 Light - Accent 4"/>
    <w:basedOn w:val="82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1" w:customStyle="1">
    <w:name w:val="List Table 1 Light - Accent 5"/>
    <w:basedOn w:val="82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List Table 1 Light - Accent 6"/>
    <w:basedOn w:val="82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2 - Accent 1"/>
    <w:basedOn w:val="82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5" w:customStyle="1">
    <w:name w:val="List Table 2 - Accent 2"/>
    <w:basedOn w:val="82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6" w:customStyle="1">
    <w:name w:val="List Table 2 - Accent 3"/>
    <w:basedOn w:val="82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7" w:customStyle="1">
    <w:name w:val="List Table 2 - Accent 4"/>
    <w:basedOn w:val="82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8" w:customStyle="1">
    <w:name w:val="List Table 2 - Accent 5"/>
    <w:basedOn w:val="82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9" w:customStyle="1">
    <w:name w:val="List Table 2 - Accent 6"/>
    <w:basedOn w:val="82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0"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3 - Accent 1"/>
    <w:basedOn w:val="82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82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82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82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82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82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4 - Accent 1"/>
    <w:basedOn w:val="82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4 - Accent 2"/>
    <w:basedOn w:val="82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0" w:customStyle="1">
    <w:name w:val="List Table 4 - Accent 3"/>
    <w:basedOn w:val="82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1" w:customStyle="1">
    <w:name w:val="List Table 4 - Accent 4"/>
    <w:basedOn w:val="82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2" w:customStyle="1">
    <w:name w:val="List Table 4 - Accent 5"/>
    <w:basedOn w:val="82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3" w:customStyle="1">
    <w:name w:val="List Table 4 - Accent 6"/>
    <w:basedOn w:val="82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4"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1"/>
    <w:basedOn w:val="82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2"/>
    <w:basedOn w:val="82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3"/>
    <w:basedOn w:val="82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4"/>
    <w:basedOn w:val="82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5"/>
    <w:basedOn w:val="82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6"/>
    <w:basedOn w:val="82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2" w:customStyle="1">
    <w:name w:val="List Table 6 Colorful - Accent 1"/>
    <w:basedOn w:val="82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3" w:customStyle="1">
    <w:name w:val="List Table 6 Colorful - Accent 2"/>
    <w:basedOn w:val="82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4" w:customStyle="1">
    <w:name w:val="List Table 6 Colorful - Accent 3"/>
    <w:basedOn w:val="82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5" w:customStyle="1">
    <w:name w:val="List Table 6 Colorful - Accent 4"/>
    <w:basedOn w:val="82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6" w:customStyle="1">
    <w:name w:val="List Table 6 Colorful - Accent 5"/>
    <w:basedOn w:val="82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7" w:customStyle="1">
    <w:name w:val="List Table 6 Colorful - Accent 6"/>
    <w:basedOn w:val="82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8"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List Table 7 Colorful - Accent 1"/>
    <w:basedOn w:val="82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7 Colorful - Accent 2"/>
    <w:basedOn w:val="82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List Table 7 Colorful - Accent 3"/>
    <w:basedOn w:val="82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2" w:customStyle="1">
    <w:name w:val="List Table 7 Colorful - Accent 4"/>
    <w:basedOn w:val="82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List Table 7 Colorful - Accent 5"/>
    <w:basedOn w:val="82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4" w:customStyle="1">
    <w:name w:val="List Table 7 Colorful - Accent 6"/>
    <w:basedOn w:val="82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5" w:customStyle="1">
    <w:name w:val="Lined - Accent"/>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Lined - Accent 1"/>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Lined - Accent 2"/>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Lined - Accent 3"/>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Lined - Accent 4"/>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Lined - Accent 5"/>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Lined - Accent 6"/>
    <w:basedOn w:val="82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amp; Lined - Accent"/>
    <w:basedOn w:val="82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Bordered &amp; Lined - Accent 1"/>
    <w:basedOn w:val="82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Bordered &amp; Lined - Accent 2"/>
    <w:basedOn w:val="82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Bordered &amp; Lined - Accent 3"/>
    <w:basedOn w:val="82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Bordered &amp; Lined - Accent 4"/>
    <w:basedOn w:val="82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Bordered &amp; Lined - Accent 5"/>
    <w:basedOn w:val="82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Bordered &amp; Lined - Accent 6"/>
    <w:basedOn w:val="82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w:basedOn w:val="82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0" w:customStyle="1">
    <w:name w:val="Bordered - Accent 1"/>
    <w:basedOn w:val="82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1" w:customStyle="1">
    <w:name w:val="Bordered - Accent 2"/>
    <w:basedOn w:val="82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2" w:customStyle="1">
    <w:name w:val="Bordered - Accent 3"/>
    <w:basedOn w:val="82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3" w:customStyle="1">
    <w:name w:val="Bordered - Accent 4"/>
    <w:basedOn w:val="82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4" w:customStyle="1">
    <w:name w:val="Bordered - Accent 5"/>
    <w:basedOn w:val="82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5" w:customStyle="1">
    <w:name w:val="Bordered - Accent 6"/>
    <w:basedOn w:val="82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6" w:customStyle="1">
    <w:name w:val="Footnote Text Char"/>
    <w:link w:val="847"/>
    <w:uiPriority w:val="99"/>
    <w:qFormat/>
    <w:rPr>
      <w:sz w:val="18"/>
    </w:rPr>
  </w:style>
  <w:style w:type="character" w:styleId="1027" w:customStyle="1">
    <w:name w:val="Endnote Text Char"/>
    <w:link w:val="840"/>
    <w:uiPriority w:val="99"/>
    <w:qFormat/>
    <w:rPr>
      <w:sz w:val="20"/>
    </w:rPr>
  </w:style>
  <w:style w:type="paragraph" w:styleId="1028" w:customStyle="1">
    <w:name w:val="TOC Heading"/>
    <w:uiPriority w:val="39"/>
    <w:unhideWhenUsed/>
    <w:qFormat/>
    <w:rPr>
      <w:rFonts w:hint="default" w:ascii="Times New Roman" w:hAnsi="Times New Roman" w:eastAsia="宋体" w:cs="Times New Roman"/>
    </w:rPr>
  </w:style>
  <w:style w:type="paragraph" w:styleId="1029" w:customStyle="1">
    <w:name w:val="正文首行缩进11"/>
    <w:basedOn w:val="1030"/>
    <w:next w:val="811"/>
    <w:uiPriority w:val="99"/>
    <w:unhideWhenUsed/>
    <w:qFormat/>
    <w:pPr>
      <w:ind w:firstLine="420"/>
    </w:pPr>
    <w:rPr>
      <w:szCs w:val="24"/>
    </w:rPr>
  </w:style>
  <w:style w:type="paragraph" w:styleId="1030" w:customStyle="1">
    <w:name w:val="正文文本111"/>
    <w:basedOn w:val="811"/>
    <w:next w:val="811"/>
    <w:uiPriority w:val="0"/>
    <w:qFormat/>
    <w:rPr>
      <w:rFonts w:eastAsia="楷体_GB2312"/>
      <w:b/>
      <w:bCs/>
      <w:color w:val="ff0000"/>
      <w:sz w:val="32"/>
      <w:szCs w:val="32"/>
      <w:lang w:val="zh-CN"/>
    </w:rPr>
  </w:style>
  <w:style w:type="paragraph" w:styleId="1031" w:customStyle="1">
    <w:name w:val="段"/>
    <w:next w:val="811"/>
    <w:uiPriority w:val="0"/>
    <w:qFormat/>
    <w:pPr>
      <w:ind w:firstLine="200"/>
      <w:jc w:val="both"/>
    </w:pPr>
    <w:rPr>
      <w:rFonts w:hint="default" w:ascii="宋体" w:hAnsi="Times New Roman" w:eastAsia="宋体" w:cs="Times New Roman"/>
      <w:sz w:val="21"/>
      <w:lang w:val="en-US" w:eastAsia="zh-CN" w:bidi="ar-SA"/>
    </w:rPr>
  </w:style>
  <w:style w:type="paragraph" w:styleId="1032" w:customStyle="1">
    <w:name w:val="Heading 4"/>
    <w:basedOn w:val="811"/>
    <w:next w:val="811"/>
    <w:uiPriority w:val="0"/>
    <w:qFormat/>
    <w:pPr>
      <w:keepLines/>
      <w:keepNext/>
      <w:spacing w:before="280" w:after="290" w:line="376" w:lineRule="auto"/>
    </w:pPr>
    <w:rPr>
      <w:rFonts w:ascii="Arial" w:hAnsi="Arial" w:eastAsia="黑体"/>
      <w:b/>
      <w:bCs/>
      <w:sz w:val="28"/>
      <w:szCs w:val="28"/>
    </w:rPr>
  </w:style>
  <w:style w:type="paragraph" w:styleId="1033"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34" w:customStyle="1">
    <w:name w:val="HTML 预设格式 Char"/>
    <w:link w:val="854"/>
    <w:uiPriority w:val="0"/>
    <w:qFormat/>
    <w:rPr>
      <w:rFonts w:ascii="黑体" w:eastAsia="黑体"/>
    </w:rPr>
  </w:style>
  <w:style w:type="character" w:styleId="1035" w:customStyle="1">
    <w:name w:val="批注主题 Char"/>
    <w:basedOn w:val="1036"/>
    <w:link w:val="858"/>
    <w:uiPriority w:val="0"/>
    <w:qFormat/>
    <w:rPr>
      <w:b/>
      <w:bCs/>
      <w:sz w:val="21"/>
      <w:szCs w:val="24"/>
    </w:rPr>
  </w:style>
  <w:style w:type="character" w:styleId="1036" w:customStyle="1">
    <w:name w:val="批注文字 Char"/>
    <w:basedOn w:val="821"/>
    <w:link w:val="827"/>
    <w:uiPriority w:val="0"/>
    <w:qFormat/>
    <w:rPr>
      <w:sz w:val="21"/>
      <w:szCs w:val="24"/>
    </w:rPr>
  </w:style>
  <w:style w:type="character" w:styleId="1037" w:customStyle="1">
    <w:name w:val="标题2 Char"/>
    <w:uiPriority w:val="0"/>
    <w:qFormat/>
    <w:rPr>
      <w:rFonts w:ascii="方正楷体_GBK" w:eastAsia="方正楷体_GBK"/>
      <w:sz w:val="32"/>
      <w:lang w:val="en-US" w:eastAsia="zh-CN" w:bidi="ar-SA"/>
    </w:rPr>
  </w:style>
  <w:style w:type="character" w:styleId="1038" w:customStyle="1">
    <w:name w:val="标题 5 Char"/>
    <w:basedOn w:val="821"/>
    <w:link w:val="816"/>
    <w:uiPriority w:val="0"/>
    <w:qFormat/>
    <w:rPr>
      <w:rFonts w:ascii="宋体"/>
      <w:b/>
      <w:bCs/>
      <w:sz w:val="21"/>
      <w:szCs w:val="24"/>
    </w:rPr>
  </w:style>
  <w:style w:type="character" w:styleId="1039" w:customStyle="1">
    <w:name w:val="页脚 Char"/>
    <w:link w:val="842"/>
    <w:uiPriority w:val="0"/>
    <w:qFormat/>
    <w:rPr>
      <w:sz w:val="18"/>
    </w:rPr>
  </w:style>
  <w:style w:type="character" w:styleId="1040" w:customStyle="1">
    <w:name w:val="批注框文本 Char"/>
    <w:link w:val="841"/>
    <w:uiPriority w:val="0"/>
    <w:qFormat/>
    <w:rPr>
      <w:sz w:val="18"/>
      <w:szCs w:val="18"/>
    </w:rPr>
  </w:style>
  <w:style w:type="character" w:styleId="1041" w:customStyle="1">
    <w:name w:val="标题 4 Char"/>
    <w:basedOn w:val="821"/>
    <w:link w:val="815"/>
    <w:uiPriority w:val="0"/>
    <w:qFormat/>
    <w:rPr>
      <w:rFonts w:ascii="Arial" w:hAnsi="Arial" w:eastAsia="黑体"/>
      <w:b/>
      <w:bCs/>
      <w:sz w:val="28"/>
      <w:szCs w:val="28"/>
    </w:rPr>
  </w:style>
  <w:style w:type="character" w:styleId="1042" w:customStyle="1">
    <w:name w:val="正文文本 2 Char"/>
    <w:basedOn w:val="821"/>
    <w:link w:val="853"/>
    <w:uiPriority w:val="0"/>
    <w:qFormat/>
    <w:rPr>
      <w:rFonts w:ascii="仿宋_GB2312" w:eastAsia="仿宋_GB2312"/>
      <w:sz w:val="44"/>
      <w:szCs w:val="24"/>
    </w:rPr>
  </w:style>
  <w:style w:type="character" w:styleId="1043" w:customStyle="1">
    <w:name w:val="标题 3 Char"/>
    <w:basedOn w:val="821"/>
    <w:link w:val="814"/>
    <w:uiPriority w:val="0"/>
    <w:qFormat/>
    <w:rPr>
      <w:b/>
      <w:sz w:val="32"/>
    </w:rPr>
  </w:style>
  <w:style w:type="character" w:styleId="1044" w:customStyle="1">
    <w:name w:val="文档结构图 Char"/>
    <w:basedOn w:val="821"/>
    <w:link w:val="826"/>
    <w:uiPriority w:val="0"/>
    <w:qFormat/>
    <w:rPr>
      <w:sz w:val="21"/>
      <w:szCs w:val="24"/>
      <w:shd w:val="clear" w:color="auto" w:fill="000080"/>
    </w:rPr>
  </w:style>
  <w:style w:type="character" w:styleId="1045" w:customStyle="1">
    <w:name w:val="副标题 Char"/>
    <w:basedOn w:val="821"/>
    <w:link w:val="846"/>
    <w:uiPriority w:val="0"/>
    <w:qFormat/>
    <w:rPr>
      <w:rFonts w:ascii="Cambria" w:hAnsi="Cambria"/>
      <w:b/>
      <w:bCs/>
      <w:sz w:val="32"/>
      <w:szCs w:val="32"/>
    </w:rPr>
  </w:style>
  <w:style w:type="character" w:styleId="1046" w:customStyle="1">
    <w:name w:val="副标题 Char1"/>
    <w:basedOn w:val="821"/>
    <w:uiPriority w:val="11"/>
    <w:qFormat/>
    <w:rPr>
      <w:rFonts w:ascii="Cambria" w:hAnsi="Cambria" w:cs="Times New Roman"/>
      <w:b/>
      <w:bCs/>
      <w:sz w:val="32"/>
      <w:szCs w:val="32"/>
    </w:rPr>
  </w:style>
  <w:style w:type="character" w:styleId="1047" w:customStyle="1">
    <w:name w:val="正文文本缩进 3 Char"/>
    <w:basedOn w:val="821"/>
    <w:link w:val="849"/>
    <w:uiPriority w:val="0"/>
    <w:qFormat/>
    <w:rPr>
      <w:rFonts w:ascii="仿宋_GB2312" w:eastAsia="仿宋_GB2312"/>
      <w:sz w:val="24"/>
      <w:szCs w:val="24"/>
    </w:rPr>
  </w:style>
  <w:style w:type="character" w:styleId="1048" w:customStyle="1">
    <w:name w:val="正文文本缩进 Char"/>
    <w:basedOn w:val="821"/>
    <w:link w:val="830"/>
    <w:uiPriority w:val="0"/>
    <w:qFormat/>
    <w:rPr>
      <w:rFonts w:ascii="楷体_GB2312" w:eastAsia="楷体_GB2312"/>
      <w:sz w:val="32"/>
    </w:rPr>
  </w:style>
  <w:style w:type="character" w:styleId="1049" w:customStyle="1">
    <w:name w:val="正文文本缩进 2 Char"/>
    <w:basedOn w:val="821"/>
    <w:link w:val="839"/>
    <w:uiPriority w:val="0"/>
    <w:qFormat/>
    <w:rPr>
      <w:rFonts w:ascii="宋体"/>
      <w:sz w:val="28"/>
      <w:szCs w:val="24"/>
    </w:rPr>
  </w:style>
  <w:style w:type="character" w:styleId="1050" w:customStyle="1">
    <w:name w:val="日期 Char"/>
    <w:basedOn w:val="821"/>
    <w:link w:val="838"/>
    <w:uiPriority w:val="0"/>
    <w:qFormat/>
    <w:rPr>
      <w:sz w:val="24"/>
    </w:rPr>
  </w:style>
  <w:style w:type="character" w:styleId="1051" w:customStyle="1">
    <w:name w:val="jj1"/>
    <w:uiPriority w:val="0"/>
    <w:qFormat/>
    <w:rPr>
      <w:sz w:val="20"/>
      <w:szCs w:val="20"/>
      <w:u w:val="none"/>
    </w:rPr>
  </w:style>
  <w:style w:type="character" w:styleId="1052" w:customStyle="1">
    <w:name w:val="正文文本 3 Char"/>
    <w:basedOn w:val="821"/>
    <w:link w:val="828"/>
    <w:uiPriority w:val="0"/>
    <w:qFormat/>
    <w:rPr>
      <w:rFonts w:ascii="仿宋_GB2312" w:eastAsia="仿宋_GB2312"/>
      <w:sz w:val="32"/>
    </w:rPr>
  </w:style>
  <w:style w:type="character" w:styleId="1053" w:customStyle="1">
    <w:name w:val="页眉 Char"/>
    <w:basedOn w:val="821"/>
    <w:link w:val="843"/>
    <w:uiPriority w:val="99"/>
    <w:qFormat/>
    <w:rPr>
      <w:sz w:val="18"/>
      <w:szCs w:val="18"/>
    </w:rPr>
  </w:style>
  <w:style w:type="character" w:styleId="1054" w:customStyle="1">
    <w:name w:val="正文文本 Char"/>
    <w:basedOn w:val="821"/>
    <w:link w:val="829"/>
    <w:uiPriority w:val="0"/>
    <w:qFormat/>
    <w:rPr>
      <w:rFonts w:ascii="楷体_GB2312" w:eastAsia="楷体_GB2312"/>
      <w:sz w:val="28"/>
    </w:rPr>
  </w:style>
  <w:style w:type="character" w:styleId="1055" w:customStyle="1">
    <w:name w:val="纯文本 Char"/>
    <w:basedOn w:val="821"/>
    <w:link w:val="836"/>
    <w:uiPriority w:val="0"/>
    <w:qFormat/>
    <w:rPr>
      <w:rFonts w:ascii="宋体"/>
      <w:sz w:val="21"/>
    </w:rPr>
  </w:style>
  <w:style w:type="paragraph" w:styleId="1056" w:customStyle="1">
    <w:name w:val="标题3"/>
    <w:basedOn w:val="811"/>
    <w:next w:val="811"/>
    <w:uiPriority w:val="0"/>
    <w:qFormat/>
    <w:rPr>
      <w:rFonts w:eastAsia="方正黑体_GBK"/>
    </w:rPr>
  </w:style>
  <w:style w:type="paragraph" w:styleId="1057" w:customStyle="1">
    <w:name w:val="xl83"/>
    <w:basedOn w:val="811"/>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5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59" w:customStyle="1">
    <w:name w:val="TOC 标题1"/>
    <w:basedOn w:val="812"/>
    <w:next w:val="811"/>
    <w:uiPriority w:val="0"/>
    <w:qFormat/>
    <w:pPr>
      <w:jc w:val="left"/>
      <w:keepLines/>
      <w:spacing w:before="480" w:line="276" w:lineRule="auto"/>
      <w:widowControl/>
      <w:outlineLvl w:val="9"/>
    </w:pPr>
    <w:rPr>
      <w:rFonts w:ascii="Cambria" w:hAnsi="Cambria" w:eastAsia="宋体"/>
      <w:b/>
      <w:bCs/>
      <w:color w:val="365f91"/>
      <w:szCs w:val="28"/>
    </w:rPr>
  </w:style>
  <w:style w:type="paragraph" w:styleId="1060" w:customStyle="1">
    <w:name w:val="第四级"/>
    <w:basedOn w:val="811"/>
    <w:next w:val="811"/>
    <w:uiPriority w:val="0"/>
    <w:qFormat/>
    <w:pPr>
      <w:spacing w:line="360" w:lineRule="auto"/>
      <w:tabs>
        <w:tab w:val="left" w:pos="1134" w:leader="none"/>
      </w:tabs>
    </w:pPr>
    <w:rPr>
      <w:rFonts w:ascii="宋体" w:hAnsi="宋体" w:eastAsia="仿宋"/>
      <w:sz w:val="28"/>
      <w:szCs w:val="21"/>
    </w:rPr>
  </w:style>
  <w:style w:type="paragraph" w:styleId="1061" w:customStyle="1">
    <w:name w:val="Char Char Char Char1 Char Char Char"/>
    <w:basedOn w:val="826"/>
    <w:uiPriority w:val="0"/>
    <w:qFormat/>
    <w:pPr>
      <w:spacing w:line="360" w:lineRule="auto"/>
    </w:pPr>
    <w:rPr>
      <w:rFonts w:ascii="Tahoma" w:hAnsi="Tahoma"/>
      <w:sz w:val="24"/>
    </w:rPr>
  </w:style>
  <w:style w:type="paragraph" w:styleId="1062" w:customStyle="1">
    <w:name w:val="xl77"/>
    <w:basedOn w:val="81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63" w:customStyle="1">
    <w:name w:val="xl47"/>
    <w:basedOn w:val="811"/>
    <w:uiPriority w:val="0"/>
    <w:qFormat/>
    <w:pPr>
      <w:jc w:val="center"/>
      <w:spacing w:before="100" w:beforeAutospacing="1" w:after="100" w:afterAutospacing="1"/>
      <w:widowControl/>
    </w:pPr>
    <w:rPr>
      <w:rFonts w:ascii="方正姚体" w:eastAsia="方正姚体"/>
      <w:b/>
      <w:bCs/>
      <w:sz w:val="36"/>
      <w:szCs w:val="36"/>
    </w:rPr>
  </w:style>
  <w:style w:type="paragraph" w:styleId="1064" w:customStyle="1">
    <w:name w:val="标题2"/>
    <w:basedOn w:val="811"/>
    <w:next w:val="811"/>
    <w:uiPriority w:val="0"/>
    <w:qFormat/>
    <w:pPr>
      <w:jc w:val="center"/>
    </w:pPr>
    <w:rPr>
      <w:rFonts w:eastAsia="方正楷体_GBK"/>
    </w:rPr>
  </w:style>
  <w:style w:type="paragraph" w:styleId="1065" w:customStyle="1">
    <w:name w:val="HTML 预先格式化"/>
    <w:basedOn w:val="8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6" w:customStyle="1">
    <w:name w:val="正文 1.1.1"/>
    <w:basedOn w:val="811"/>
    <w:next w:val="811"/>
    <w:uiPriority w:val="0"/>
    <w:qFormat/>
    <w:pPr>
      <w:spacing w:line="360" w:lineRule="auto"/>
      <w:tabs>
        <w:tab w:val="left" w:pos="851" w:leader="none"/>
      </w:tabs>
      <w:outlineLvl w:val="2"/>
    </w:pPr>
    <w:rPr>
      <w:rFonts w:ascii="宋体"/>
      <w:color w:val="000000"/>
      <w:sz w:val="28"/>
      <w:szCs w:val="21"/>
    </w:rPr>
  </w:style>
  <w:style w:type="paragraph" w:styleId="1067" w:customStyle="1">
    <w:name w:val="默认段落字体 Para Char Char Char Char Char Char Char Char Char1 Char Char Char Char Char Char Char"/>
    <w:basedOn w:val="826"/>
    <w:uiPriority w:val="0"/>
    <w:qFormat/>
    <w:rPr>
      <w:rFonts w:ascii="Tahoma" w:hAnsi="Tahoma"/>
      <w:sz w:val="24"/>
    </w:rPr>
  </w:style>
  <w:style w:type="paragraph" w:styleId="1068" w:customStyle="1">
    <w:name w:val="xl79"/>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69" w:customStyle="1">
    <w:name w:val="xl86"/>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0" w:customStyle="1">
    <w:name w:val="xl69"/>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71" w:customStyle="1">
    <w:name w:val="标题1"/>
    <w:basedOn w:val="811"/>
    <w:next w:val="811"/>
    <w:uiPriority w:val="0"/>
    <w:qFormat/>
    <w:pPr>
      <w:jc w:val="center"/>
      <w:spacing w:line="700" w:lineRule="atLeast"/>
      <w:tabs>
        <w:tab w:val="left" w:pos="9193" w:leader="none"/>
        <w:tab w:val="left" w:pos="9827" w:leader="none"/>
      </w:tabs>
    </w:pPr>
    <w:rPr>
      <w:rFonts w:eastAsia="方正小标宋_GBK"/>
      <w:sz w:val="44"/>
    </w:rPr>
  </w:style>
  <w:style w:type="paragraph" w:styleId="1072" w:customStyle="1">
    <w:name w:val="正文 第一章"/>
    <w:basedOn w:val="811"/>
    <w:next w:val="1073"/>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73" w:customStyle="1">
    <w:name w:val="正文 1.1"/>
    <w:basedOn w:val="811"/>
    <w:next w:val="1066"/>
    <w:uiPriority w:val="0"/>
    <w:qFormat/>
    <w:pPr>
      <w:ind w:left="350" w:hanging="350"/>
      <w:spacing w:line="360" w:lineRule="auto"/>
      <w:outlineLvl w:val="1"/>
    </w:pPr>
    <w:rPr>
      <w:rFonts w:ascii="仿宋" w:eastAsia="仿宋"/>
      <w:b/>
      <w:sz w:val="28"/>
      <w:szCs w:val="21"/>
    </w:rPr>
  </w:style>
  <w:style w:type="paragraph" w:styleId="1074" w:customStyle="1">
    <w:name w:val="Char1"/>
    <w:basedOn w:val="811"/>
    <w:uiPriority w:val="0"/>
    <w:qFormat/>
    <w:pPr>
      <w:tabs>
        <w:tab w:val="left" w:pos="360" w:leader="none"/>
      </w:tabs>
    </w:pPr>
    <w:rPr>
      <w:sz w:val="24"/>
    </w:rPr>
  </w:style>
  <w:style w:type="paragraph" w:styleId="1075" w:customStyle="1">
    <w:name w:val="xl43"/>
    <w:basedOn w:val="81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6" w:customStyle="1">
    <w:name w:val="xl74"/>
    <w:basedOn w:val="811"/>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7" w:customStyle="1">
    <w:name w:val="xl67"/>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列出段落3"/>
    <w:basedOn w:val="811"/>
    <w:uiPriority w:val="0"/>
    <w:qFormat/>
    <w:pPr>
      <w:ind w:firstLine="420"/>
    </w:pPr>
    <w:rPr>
      <w:rFonts w:ascii="Calibri" w:hAnsi="Calibri"/>
      <w:szCs w:val="22"/>
    </w:rPr>
  </w:style>
  <w:style w:type="paragraph" w:styleId="1079" w:customStyle="1">
    <w:name w:val="普通正文"/>
    <w:basedOn w:val="811"/>
    <w:uiPriority w:val="0"/>
    <w:qFormat/>
    <w:pPr>
      <w:ind w:firstLine="480"/>
      <w:jc w:val="left"/>
      <w:spacing w:before="120" w:after="120" w:line="360" w:lineRule="auto"/>
    </w:pPr>
    <w:rPr>
      <w:rFonts w:ascii="Arial" w:hAnsi="Arial"/>
      <w:sz w:val="24"/>
    </w:rPr>
  </w:style>
  <w:style w:type="paragraph" w:styleId="1080">
    <w:name w:val="List Paragraph"/>
    <w:basedOn w:val="811"/>
    <w:uiPriority w:val="0"/>
    <w:qFormat/>
    <w:pPr>
      <w:ind w:firstLine="200"/>
    </w:pPr>
    <w:rPr>
      <w:rFonts w:ascii="Calibri" w:hAnsi="Calibri"/>
      <w:szCs w:val="22"/>
    </w:rPr>
  </w:style>
  <w:style w:type="paragraph" w:styleId="1081" w:customStyle="1">
    <w:name w:val="列出段落2"/>
    <w:basedOn w:val="811"/>
    <w:uiPriority w:val="0"/>
    <w:qFormat/>
    <w:pPr>
      <w:ind w:firstLine="420"/>
    </w:pPr>
    <w:rPr>
      <w:rFonts w:ascii="Calibri" w:hAnsi="Calibri"/>
      <w:szCs w:val="22"/>
    </w:rPr>
  </w:style>
  <w:style w:type="paragraph" w:styleId="1082" w:customStyle="1">
    <w:name w:val="xl71"/>
    <w:basedOn w:val="811"/>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83" w:customStyle="1">
    <w:name w:val="xl81"/>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4" w:customStyle="1">
    <w:name w:val="xl80"/>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5" w:customStyle="1">
    <w:name w:val="xl73"/>
    <w:basedOn w:val="811"/>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6" w:customStyle="1">
    <w:name w:val="BioQuote Tekst"/>
    <w:basedOn w:val="811"/>
    <w:uiPriority w:val="0"/>
    <w:qFormat/>
    <w:pPr>
      <w:ind w:right="-1"/>
    </w:pPr>
    <w:rPr>
      <w:rFonts w:ascii="Arial" w:hAnsi="Arial"/>
      <w:sz w:val="22"/>
      <w:szCs w:val="20"/>
      <w:lang w:eastAsia="en-US"/>
    </w:rPr>
  </w:style>
  <w:style w:type="paragraph" w:styleId="1087" w:customStyle="1">
    <w:name w:val="xl65"/>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customStyle="1">
    <w:name w:val="xl75"/>
    <w:basedOn w:val="811"/>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89" w:customStyle="1">
    <w:name w:val="xl87"/>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90" w:customStyle="1">
    <w:name w:val="xl78"/>
    <w:basedOn w:val="81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91" w:customStyle="1">
    <w:name w:val="正文格式"/>
    <w:basedOn w:val="835"/>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92" w:customStyle="1">
    <w:name w:val="Char"/>
    <w:basedOn w:val="811"/>
    <w:uiPriority w:val="0"/>
    <w:qFormat/>
    <w:rPr>
      <w:rFonts w:ascii="Tahoma" w:hAnsi="Tahoma"/>
      <w:sz w:val="24"/>
      <w:szCs w:val="20"/>
    </w:rPr>
  </w:style>
  <w:style w:type="paragraph" w:styleId="1093"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4" w:customStyle="1">
    <w:name w:val="列出段落1"/>
    <w:basedOn w:val="811"/>
    <w:uiPriority w:val="0"/>
    <w:qFormat/>
    <w:pPr>
      <w:contextualSpacing/>
      <w:ind w:left="720"/>
      <w:jc w:val="left"/>
      <w:widowControl/>
    </w:pPr>
    <w:rPr>
      <w:rFonts w:ascii="Calibri" w:hAnsi="Calibri"/>
      <w:sz w:val="24"/>
      <w:lang w:eastAsia="en-US" w:bidi="en-US"/>
    </w:rPr>
  </w:style>
  <w:style w:type="paragraph" w:styleId="1095" w:customStyle="1">
    <w:name w:val="xl88"/>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6" w:customStyle="1">
    <w:name w:val="xl72"/>
    <w:basedOn w:val="811"/>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7" w:customStyle="1">
    <w:name w:val="正文空2格  1."/>
    <w:basedOn w:val="811"/>
    <w:uiPriority w:val="0"/>
    <w:qFormat/>
    <w:pPr>
      <w:ind w:firstLine="200"/>
      <w:spacing w:line="360" w:lineRule="auto"/>
    </w:pPr>
    <w:rPr>
      <w:rFonts w:ascii="宋体" w:hAnsi="宋体" w:eastAsia="仿宋" w:cs="宋体"/>
      <w:sz w:val="28"/>
      <w:szCs w:val="20"/>
    </w:rPr>
  </w:style>
  <w:style w:type="paragraph" w:styleId="109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99" w:customStyle="1">
    <w:name w:val="Coms Alinea"/>
    <w:uiPriority w:val="0"/>
    <w:qFormat/>
    <w:pPr>
      <w:widowControl w:val="off"/>
    </w:pPr>
    <w:rPr>
      <w:rFonts w:hint="default" w:ascii="Arial" w:hAnsi="Arial" w:eastAsia="宋体" w:cs="Arial"/>
      <w:lang w:val="en-US" w:eastAsia="zh-CN" w:bidi="ar-SA"/>
    </w:rPr>
  </w:style>
  <w:style w:type="paragraph" w:styleId="1100" w:customStyle="1">
    <w:name w:val="xl70"/>
    <w:basedOn w:val="811"/>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101" w:customStyle="1">
    <w:name w:val="xl66"/>
    <w:basedOn w:val="811"/>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xl64"/>
    <w:basedOn w:val="811"/>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103" w:customStyle="1">
    <w:name w:val="xl85"/>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4" w:customStyle="1">
    <w:name w:val="xl68"/>
    <w:basedOn w:val="811"/>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5" w:customStyle="1">
    <w:name w:val="xl84"/>
    <w:basedOn w:val="811"/>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6" w:customStyle="1">
    <w:name w:val="Char Char Char Char"/>
    <w:basedOn w:val="826"/>
    <w:uiPriority w:val="0"/>
    <w:qFormat/>
    <w:pPr>
      <w:spacing w:line="360" w:lineRule="auto"/>
    </w:pPr>
    <w:rPr>
      <w:rFonts w:ascii="Tahoma" w:hAnsi="Tahoma"/>
      <w:sz w:val="24"/>
    </w:rPr>
  </w:style>
  <w:style w:type="paragraph" w:styleId="1107" w:customStyle="1">
    <w:name w:val="xl82"/>
    <w:basedOn w:val="811"/>
    <w:uiPriority w:val="0"/>
    <w:qFormat/>
    <w:pPr>
      <w:jc w:val="left"/>
      <w:spacing w:before="100" w:beforeAutospacing="1" w:after="100" w:afterAutospacing="1"/>
      <w:shd w:val="clear" w:color="ffffff" w:fill="ffffff"/>
      <w:widowControl/>
    </w:pPr>
    <w:rPr>
      <w:rFonts w:ascii="宋体" w:hAnsi="宋体" w:cs="宋体"/>
      <w:sz w:val="24"/>
    </w:rPr>
  </w:style>
  <w:style w:type="paragraph" w:styleId="1108" w:customStyle="1">
    <w:name w:val="Blockquote"/>
    <w:basedOn w:val="811"/>
    <w:uiPriority w:val="0"/>
    <w:qFormat/>
    <w:pPr>
      <w:ind w:left="360" w:right="360"/>
      <w:jc w:val="left"/>
      <w:spacing w:before="100" w:after="100"/>
    </w:pPr>
    <w:rPr>
      <w:sz w:val="24"/>
      <w:szCs w:val="20"/>
    </w:rPr>
  </w:style>
  <w:style w:type="paragraph" w:styleId="1109" w:customStyle="1">
    <w:name w:val="xl33"/>
    <w:basedOn w:val="81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10" w:customStyle="1">
    <w:name w:val="xl76"/>
    <w:basedOn w:val="811"/>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Char Char Char Char1 Char Char"/>
    <w:basedOn w:val="811"/>
    <w:uiPriority w:val="0"/>
    <w:qFormat/>
    <w:pPr>
      <w:tabs>
        <w:tab w:val="left" w:pos="360" w:leader="none"/>
      </w:tabs>
    </w:pPr>
    <w:rPr>
      <w:sz w:val="24"/>
    </w:rPr>
  </w:style>
  <w:style w:type="paragraph" w:styleId="1113" w:customStyle="1">
    <w:name w:val="样式 标题 2 + 黑色 行距: 1.5 倍行距"/>
    <w:basedOn w:val="813"/>
    <w:uiPriority w:val="0"/>
    <w:qFormat/>
    <w:pPr>
      <w:spacing w:line="360" w:lineRule="auto"/>
    </w:pPr>
    <w:rPr>
      <w:rFonts w:eastAsia="宋体"/>
      <w:color w:val="000000"/>
    </w:rPr>
  </w:style>
  <w:style w:type="character" w:styleId="1114" w:customStyle="1">
    <w:name w:val="hover"/>
    <w:basedOn w:val="821"/>
    <w:uiPriority w:val="0"/>
    <w:qFormat/>
    <w:rPr>
      <w:color w:val="5fb878"/>
    </w:rPr>
  </w:style>
  <w:style w:type="character" w:styleId="1115" w:customStyle="1">
    <w:name w:val="hover1"/>
    <w:basedOn w:val="821"/>
    <w:uiPriority w:val="0"/>
    <w:qFormat/>
    <w:rPr>
      <w:color w:val="ffffff"/>
    </w:rPr>
  </w:style>
  <w:style w:type="character" w:styleId="1116" w:customStyle="1">
    <w:name w:val="hover2"/>
    <w:basedOn w:val="821"/>
    <w:uiPriority w:val="0"/>
    <w:qFormat/>
    <w:rPr>
      <w:color w:val="5fb878"/>
    </w:rPr>
  </w:style>
  <w:style w:type="paragraph" w:styleId="1117" w:customStyle="1">
    <w:name w:val="Table Paragraph"/>
    <w:basedOn w:val="811"/>
    <w:uiPriority w:val="1"/>
    <w:qFormat/>
  </w:style>
  <w:style w:type="character" w:styleId="1118" w:customStyle="1">
    <w:name w:val="NormalCharacter"/>
    <w:uiPriority w:val="0"/>
    <w:semiHidden/>
    <w:qFormat/>
    <w:rPr>
      <w:sz w:val="21"/>
      <w:szCs w:val="24"/>
      <w:lang w:val="en-US" w:eastAsia="zh-CN" w:bidi="ar-SA"/>
    </w:rPr>
  </w:style>
  <w:style w:type="character" w:styleId="1119" w:customStyle="1">
    <w:name w:val="font11"/>
    <w:basedOn w:val="821"/>
    <w:uiPriority w:val="0"/>
    <w:qFormat/>
    <w:rPr>
      <w:rFonts w:hint="eastAsia" w:ascii="宋体" w:hAnsi="宋体" w:eastAsia="宋体" w:cs="宋体"/>
      <w:color w:val="000000"/>
      <w:sz w:val="20"/>
      <w:szCs w:val="20"/>
      <w:u w:val="none"/>
    </w:rPr>
  </w:style>
  <w:style w:type="paragraph" w:styleId="1120"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21" w:customStyle="1">
    <w:name w:val="纯文本1"/>
    <w:basedOn w:val="811"/>
    <w:uiPriority w:val="0"/>
    <w:qFormat/>
    <w:rPr>
      <w:rFonts w:ascii="宋体" w:hAnsi="Courier New" w:eastAsia="宋体" w:cs="Times New Roman"/>
      <w:szCs w:val="20"/>
    </w:rPr>
  </w:style>
  <w:style w:type="paragraph" w:styleId="1122" w:customStyle="1">
    <w:name w:val="标题 31"/>
    <w:basedOn w:val="811"/>
    <w:next w:val="811"/>
    <w:uiPriority w:val="9"/>
    <w:qFormat/>
    <w:pPr>
      <w:keepLines/>
      <w:keepNext/>
      <w:spacing w:before="260" w:after="260" w:line="416" w:lineRule="auto"/>
      <w:outlineLvl w:val="2"/>
    </w:pPr>
    <w:rPr>
      <w:b/>
      <w:bCs/>
      <w:sz w:val="32"/>
      <w:szCs w:val="32"/>
    </w:rPr>
  </w:style>
  <w:style w:type="paragraph" w:styleId="1123" w:customStyle="1">
    <w:name w:val="纯文本11"/>
    <w:basedOn w:val="811"/>
    <w:next w:val="1124"/>
    <w:uiPriority w:val="0"/>
    <w:qFormat/>
    <w:rPr>
      <w:rFonts w:ascii="宋体" w:hAnsi="Courier New"/>
      <w:sz w:val="21"/>
      <w:szCs w:val="20"/>
    </w:rPr>
  </w:style>
  <w:style w:type="paragraph" w:styleId="1124" w:customStyle="1">
    <w:name w:val="正文缩进11"/>
    <w:basedOn w:val="811"/>
    <w:uiPriority w:val="0"/>
    <w:qFormat/>
    <w:pPr>
      <w:ind w:firstLine="420"/>
      <w:spacing w:line="360" w:lineRule="atLeast"/>
    </w:pPr>
    <w:rPr>
      <w:sz w:val="21"/>
      <w:szCs w:val="20"/>
    </w:rPr>
  </w:style>
  <w:style w:type="paragraph" w:styleId="1125" w:customStyle="1">
    <w:name w:val="正文文本缩进 31"/>
    <w:basedOn w:val="811"/>
    <w:uiPriority w:val="0"/>
    <w:qFormat/>
    <w:pPr>
      <w:ind w:left="360"/>
      <w:spacing w:line="400" w:lineRule="exact"/>
    </w:pPr>
  </w:style>
  <w:style w:type="paragraph" w:styleId="1126" w:customStyle="1">
    <w:name w:val="目录 31"/>
    <w:basedOn w:val="811"/>
    <w:next w:val="811"/>
    <w:uiPriority w:val="39"/>
    <w:qFormat/>
    <w:pPr>
      <w:ind w:left="840"/>
    </w:pPr>
    <w:rPr>
      <w:rFonts w:ascii="Calibri" w:hAnsi="Calibri"/>
      <w:szCs w:val="22"/>
    </w:rPr>
  </w:style>
  <w:style w:type="paragraph" w:styleId="1127" w:customStyle="1">
    <w:name w:val="页脚1"/>
    <w:basedOn w:val="811"/>
    <w:uiPriority w:val="0"/>
    <w:qFormat/>
    <w:pPr>
      <w:jc w:val="left"/>
      <w:tabs>
        <w:tab w:val="center" w:pos="4153" w:leader="none"/>
        <w:tab w:val="right" w:pos="8306" w:leader="none"/>
      </w:tabs>
    </w:pPr>
    <w:rPr>
      <w:sz w:val="18"/>
      <w:szCs w:val="18"/>
    </w:rPr>
  </w:style>
  <w:style w:type="paragraph" w:styleId="1128" w:customStyle="1">
    <w:name w:val="列表接续 21"/>
    <w:basedOn w:val="811"/>
    <w:next w:val="811"/>
    <w:uiPriority w:val="0"/>
    <w:qFormat/>
    <w:pPr>
      <w:ind w:left="840"/>
      <w:spacing w:after="120"/>
    </w:pPr>
  </w:style>
  <w:style w:type="paragraph" w:styleId="1129" w:customStyle="1">
    <w:name w:val="批注文字1"/>
    <w:basedOn w:val="811"/>
    <w:uiPriority w:val="0"/>
    <w:qFormat/>
    <w:pPr>
      <w:jc w:val="left"/>
    </w:pPr>
    <w:rPr>
      <w:sz w:val="21"/>
    </w:rPr>
  </w:style>
  <w:style w:type="paragraph" w:styleId="1130" w:customStyle="1">
    <w:name w:val="正文首行缩进1"/>
    <w:basedOn w:val="1131"/>
    <w:uiPriority w:val="99"/>
    <w:unhideWhenUsed/>
    <w:qFormat/>
    <w:pPr>
      <w:ind w:firstLine="420"/>
    </w:pPr>
  </w:style>
  <w:style w:type="paragraph" w:styleId="1131" w:customStyle="1">
    <w:name w:val="正文文本1"/>
    <w:basedOn w:val="811"/>
    <w:uiPriority w:val="0"/>
    <w:qFormat/>
    <w:pPr>
      <w:jc w:val="center"/>
    </w:pPr>
    <w:rPr>
      <w:sz w:val="21"/>
    </w:rPr>
  </w:style>
  <w:style w:type="paragraph" w:styleId="1132" w:customStyle="1">
    <w:name w:val="正文文本缩进1"/>
    <w:basedOn w:val="811"/>
    <w:next w:val="1133"/>
    <w:uiPriority w:val="0"/>
    <w:qFormat/>
    <w:pPr>
      <w:ind w:firstLine="645"/>
    </w:pPr>
    <w:rPr>
      <w:rFonts w:ascii="楷体_GB2312" w:eastAsia="楷体_GB2312"/>
      <w:sz w:val="32"/>
      <w:szCs w:val="20"/>
    </w:rPr>
  </w:style>
  <w:style w:type="paragraph" w:styleId="1133" w:customStyle="1">
    <w:name w:val="寄信人地址1"/>
    <w:basedOn w:val="811"/>
    <w:uiPriority w:val="99"/>
    <w:qFormat/>
    <w:rPr>
      <w:rFonts w:ascii="Arial" w:hAnsi="Arial"/>
    </w:rPr>
  </w:style>
  <w:style w:type="paragraph" w:styleId="1134" w:customStyle="1">
    <w:name w:val="普通(网站)1"/>
    <w:basedOn w:val="811"/>
    <w:uiPriority w:val="0"/>
    <w:qFormat/>
    <w:pPr>
      <w:jc w:val="left"/>
      <w:spacing w:before="100" w:beforeAutospacing="1" w:after="100" w:afterAutospacing="1"/>
      <w:widowControl/>
    </w:pPr>
    <w:rPr>
      <w:rFonts w:ascii="宋体" w:hAnsi="宋体" w:cs="宋体"/>
      <w:sz w:val="24"/>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12</cp:revision>
  <dcterms:created xsi:type="dcterms:W3CDTF">2024-03-07T06:53:00Z</dcterms:created>
  <dcterms:modified xsi:type="dcterms:W3CDTF">2026-07-29T07:02:01Z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462357053_btnclosed</vt:lpwstr>
  </property>
  <property fmtid="{D5CDD505-2E9C-101B-9397-08002B2CF9AE}" pid="4" name="ICV">
    <vt:lpwstr>D40DB40F82794BC6A35CA68BC7D5F590_13</vt:lpwstr>
  </property>
  <property fmtid="{D5CDD505-2E9C-101B-9397-08002B2CF9AE}" pid="5" name="KSOTemplateDocerSaveRecord">
    <vt:lpwstr>eyJoZGlkIjoiZTY4MDdmYjg4M2ZhNjQ1YTViNjI5YzUzMTk5NTI4Y2IiLCJ1c2VySWQiOiIzNDYyNjUwNjEifQ==</vt:lpwstr>
  </property>
</Properties>
</file>